
<file path=[Content_Types].xml><?xml version="1.0" encoding="utf-8"?>
<Types xmlns="http://schemas.openxmlformats.org/package/2006/content-types">
  <Override PartName="/word/footnotes.xml" ContentType="application/vnd.openxmlformats-officedocument.wordprocessingml.footnotes+xml"/>
  <Override PartName="/word/footer8.xml" ContentType="application/vnd.openxmlformats-officedocument.wordprocessingml.footer+xml"/>
  <Default Extension="jpeg" ContentType="image/jpeg"/>
  <Override PartName="/word/footer6.xml" ContentType="application/vnd.openxmlformats-officedocument.wordprocessingml.footer+xml"/>
  <Override PartName="/word/footer7.xml" ContentType="application/vnd.openxmlformats-officedocument.wordprocessingml.footer+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word/footer5.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header6.xml" ContentType="application/vnd.openxmlformats-officedocument.wordprocessingml.header+xml"/>
  <Override PartName="/word/footer1.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65C97" w:rsidRDefault="003B25C9">
      <w:pPr>
        <w:jc w:val="center"/>
        <w:rPr>
          <w:sz w:val="2"/>
          <w:szCs w:val="2"/>
        </w:rPr>
      </w:pPr>
      <w:r>
        <w:rPr>
          <w:noProof/>
          <w:lang w:bidi="ar-SA"/>
        </w:rPr>
        <w:drawing>
          <wp:inline distT="0" distB="0" distL="0" distR="0">
            <wp:extent cx="2389505" cy="865505"/>
            <wp:effectExtent l="0" t="0" r="0" b="0"/>
            <wp:docPr id="1" name="Picut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7"/>
                    <a:stretch/>
                  </pic:blipFill>
                  <pic:spPr>
                    <a:xfrm>
                      <a:off x="0" y="0"/>
                      <a:ext cx="2389505" cy="865505"/>
                    </a:xfrm>
                    <a:prstGeom prst="rect">
                      <a:avLst/>
                    </a:prstGeom>
                  </pic:spPr>
                </pic:pic>
              </a:graphicData>
            </a:graphic>
          </wp:inline>
        </w:drawing>
      </w:r>
    </w:p>
    <w:p w:rsidR="00D65C97" w:rsidRDefault="00D65C97">
      <w:pPr>
        <w:spacing w:after="139" w:line="1" w:lineRule="exact"/>
      </w:pPr>
    </w:p>
    <w:p w:rsidR="00BE1CF9" w:rsidRPr="00C1447F" w:rsidRDefault="00BE1CF9" w:rsidP="00BE1CF9">
      <w:pPr>
        <w:pStyle w:val="Bodytext30"/>
        <w:rPr>
          <w:b/>
          <w:sz w:val="28"/>
          <w:szCs w:val="28"/>
          <w:lang w:val="sq-AL"/>
        </w:rPr>
      </w:pPr>
      <w:r w:rsidRPr="00C1447F">
        <w:rPr>
          <w:b/>
          <w:sz w:val="28"/>
          <w:szCs w:val="28"/>
          <w:lang w:val="sq-AL"/>
        </w:rPr>
        <w:t xml:space="preserve">Republika e Maqedonisë së Veriut </w:t>
      </w:r>
    </w:p>
    <w:p w:rsidR="00BE1CF9" w:rsidRPr="00C1447F" w:rsidRDefault="00BE1CF9" w:rsidP="00BE1CF9">
      <w:pPr>
        <w:pStyle w:val="Heading10"/>
        <w:keepNext/>
        <w:keepLines/>
        <w:rPr>
          <w:sz w:val="28"/>
          <w:szCs w:val="28"/>
          <w:lang w:val="sq-AL"/>
        </w:rPr>
      </w:pPr>
      <w:bookmarkStart w:id="0" w:name="bookmark0"/>
      <w:r w:rsidRPr="00C1447F">
        <w:rPr>
          <w:sz w:val="28"/>
          <w:szCs w:val="28"/>
          <w:lang w:val="sq-AL"/>
        </w:rPr>
        <w:t xml:space="preserve">Ministria e Drejtësisë </w:t>
      </w:r>
      <w:bookmarkEnd w:id="0"/>
    </w:p>
    <w:p w:rsidR="00BE1CF9" w:rsidRPr="00C1447F" w:rsidRDefault="00BE1CF9" w:rsidP="00BE1CF9">
      <w:pPr>
        <w:pStyle w:val="Bodytext0"/>
        <w:spacing w:after="140" w:line="240" w:lineRule="auto"/>
        <w:jc w:val="center"/>
        <w:rPr>
          <w:b/>
          <w:sz w:val="28"/>
          <w:szCs w:val="28"/>
          <w:lang w:val="sq-AL"/>
        </w:rPr>
      </w:pPr>
      <w:r w:rsidRPr="00C1447F">
        <w:rPr>
          <w:b/>
          <w:sz w:val="28"/>
          <w:szCs w:val="28"/>
          <w:lang w:val="sq-AL"/>
        </w:rPr>
        <w:t xml:space="preserve">Byroja për Përfaqësimin e Republikës së Maqedonisë së Veriut para Gjykatës Evropiane për të Drejtat e Njeriut </w:t>
      </w:r>
    </w:p>
    <w:p w:rsidR="00BE1CF9" w:rsidRPr="00C1447F" w:rsidRDefault="00BE1CF9" w:rsidP="00BE1CF9">
      <w:pPr>
        <w:pStyle w:val="Bodytext0"/>
        <w:spacing w:after="140" w:line="240" w:lineRule="auto"/>
        <w:jc w:val="center"/>
        <w:rPr>
          <w:sz w:val="28"/>
          <w:szCs w:val="28"/>
          <w:lang w:val="sq-AL"/>
        </w:rPr>
      </w:pPr>
    </w:p>
    <w:p w:rsidR="00BE1CF9" w:rsidRPr="00C1447F" w:rsidRDefault="00BE1CF9" w:rsidP="00BE1CF9">
      <w:pPr>
        <w:pStyle w:val="Bodytext0"/>
        <w:spacing w:after="140" w:line="240" w:lineRule="auto"/>
        <w:jc w:val="center"/>
        <w:rPr>
          <w:sz w:val="28"/>
          <w:szCs w:val="28"/>
          <w:lang w:val="sq-AL"/>
        </w:rPr>
      </w:pPr>
    </w:p>
    <w:p w:rsidR="00BE1CF9" w:rsidRPr="00C1447F" w:rsidRDefault="00BE1CF9" w:rsidP="00BE1CF9">
      <w:pPr>
        <w:pStyle w:val="BodyText1"/>
        <w:spacing w:after="0" w:line="240" w:lineRule="auto"/>
        <w:jc w:val="center"/>
        <w:rPr>
          <w:b/>
          <w:bCs/>
          <w:sz w:val="28"/>
          <w:szCs w:val="28"/>
          <w:lang w:val="sq-AL"/>
        </w:rPr>
      </w:pPr>
    </w:p>
    <w:p w:rsidR="00BE1CF9" w:rsidRPr="00C1447F" w:rsidRDefault="00BE1CF9" w:rsidP="00BE1CF9">
      <w:pPr>
        <w:pStyle w:val="BodyText1"/>
        <w:spacing w:after="0" w:line="240" w:lineRule="auto"/>
        <w:jc w:val="center"/>
        <w:rPr>
          <w:b/>
          <w:bCs/>
          <w:sz w:val="28"/>
          <w:szCs w:val="28"/>
          <w:lang w:val="sq-AL"/>
        </w:rPr>
      </w:pPr>
    </w:p>
    <w:p w:rsidR="00BE1CF9" w:rsidRPr="00C1447F" w:rsidRDefault="00BE1CF9" w:rsidP="00BE1CF9">
      <w:pPr>
        <w:pStyle w:val="BodyText1"/>
        <w:spacing w:after="0" w:line="240" w:lineRule="auto"/>
        <w:jc w:val="center"/>
        <w:rPr>
          <w:b/>
          <w:bCs/>
          <w:sz w:val="28"/>
          <w:szCs w:val="28"/>
          <w:lang w:val="sq-AL"/>
        </w:rPr>
      </w:pPr>
    </w:p>
    <w:p w:rsidR="00BE1CF9" w:rsidRPr="00C1447F" w:rsidRDefault="00BE1CF9" w:rsidP="00BE1CF9">
      <w:pPr>
        <w:pStyle w:val="BodyText1"/>
        <w:spacing w:after="0" w:line="240" w:lineRule="auto"/>
        <w:jc w:val="center"/>
        <w:rPr>
          <w:b/>
          <w:bCs/>
          <w:sz w:val="28"/>
          <w:szCs w:val="28"/>
          <w:lang w:val="sq-AL"/>
        </w:rPr>
      </w:pPr>
    </w:p>
    <w:p w:rsidR="00BE1CF9" w:rsidRPr="00C1447F" w:rsidRDefault="00BE1CF9" w:rsidP="00BE1CF9">
      <w:pPr>
        <w:pStyle w:val="BodyText1"/>
        <w:spacing w:after="0" w:line="240" w:lineRule="auto"/>
        <w:jc w:val="center"/>
        <w:rPr>
          <w:b/>
          <w:bCs/>
          <w:sz w:val="28"/>
          <w:szCs w:val="28"/>
          <w:lang w:val="sq-AL"/>
        </w:rPr>
      </w:pPr>
    </w:p>
    <w:p w:rsidR="00BE1CF9" w:rsidRPr="00C1447F" w:rsidRDefault="00BE1CF9" w:rsidP="00BE1CF9">
      <w:pPr>
        <w:pStyle w:val="BodyText1"/>
        <w:spacing w:after="0" w:line="240" w:lineRule="auto"/>
        <w:jc w:val="center"/>
        <w:rPr>
          <w:b/>
          <w:bCs/>
          <w:sz w:val="28"/>
          <w:szCs w:val="28"/>
          <w:lang w:val="sq-AL"/>
        </w:rPr>
      </w:pPr>
    </w:p>
    <w:p w:rsidR="00BE1CF9" w:rsidRPr="00C1447F" w:rsidRDefault="005C5C38" w:rsidP="00BE1CF9">
      <w:pPr>
        <w:pStyle w:val="BodyText1"/>
        <w:spacing w:after="0" w:line="240" w:lineRule="auto"/>
        <w:jc w:val="center"/>
        <w:rPr>
          <w:sz w:val="28"/>
          <w:szCs w:val="28"/>
          <w:lang w:val="sq-AL"/>
        </w:rPr>
      </w:pPr>
      <w:r w:rsidRPr="00C1447F">
        <w:rPr>
          <w:b/>
          <w:bCs/>
          <w:sz w:val="28"/>
          <w:szCs w:val="28"/>
          <w:lang w:val="sq-AL"/>
        </w:rPr>
        <w:t>RAPORT VJETOR</w:t>
      </w:r>
    </w:p>
    <w:p w:rsidR="00C1447F" w:rsidRDefault="005C5C38" w:rsidP="00BE1CF9">
      <w:pPr>
        <w:pStyle w:val="Bodytext0"/>
        <w:spacing w:after="0" w:line="240" w:lineRule="auto"/>
        <w:jc w:val="center"/>
        <w:rPr>
          <w:b/>
          <w:bCs/>
          <w:sz w:val="28"/>
          <w:szCs w:val="28"/>
          <w:lang w:val="sq-AL"/>
        </w:rPr>
      </w:pPr>
      <w:r w:rsidRPr="00C1447F">
        <w:rPr>
          <w:b/>
          <w:bCs/>
          <w:sz w:val="28"/>
          <w:szCs w:val="28"/>
          <w:lang w:val="sq-AL"/>
        </w:rPr>
        <w:t xml:space="preserve">PËR PUNËN E KOMISIONIT NDËRDIKASTERIAL PËR EKZEKUTIMIN </w:t>
      </w:r>
      <w:r>
        <w:rPr>
          <w:b/>
          <w:bCs/>
          <w:sz w:val="28"/>
          <w:szCs w:val="28"/>
          <w:lang w:val="sq-AL"/>
        </w:rPr>
        <w:t>E VENDIMEVE TË GJED</w:t>
      </w:r>
      <w:r w:rsidRPr="00C1447F">
        <w:rPr>
          <w:b/>
          <w:bCs/>
          <w:sz w:val="28"/>
          <w:szCs w:val="28"/>
          <w:lang w:val="sq-AL"/>
        </w:rPr>
        <w:t xml:space="preserve">NJ-SË </w:t>
      </w:r>
    </w:p>
    <w:p w:rsidR="00BE1CF9" w:rsidRPr="00C1447F" w:rsidRDefault="005C5C38" w:rsidP="00BE1CF9">
      <w:pPr>
        <w:pStyle w:val="Bodytext0"/>
        <w:spacing w:after="0" w:line="240" w:lineRule="auto"/>
        <w:jc w:val="center"/>
        <w:rPr>
          <w:b/>
          <w:bCs/>
          <w:sz w:val="28"/>
          <w:szCs w:val="28"/>
          <w:lang w:val="sq-AL"/>
        </w:rPr>
      </w:pPr>
      <w:r w:rsidRPr="00C1447F">
        <w:rPr>
          <w:b/>
          <w:bCs/>
          <w:sz w:val="28"/>
          <w:szCs w:val="28"/>
          <w:lang w:val="sq-AL"/>
        </w:rPr>
        <w:t>PËR VITIN 2024</w:t>
      </w:r>
    </w:p>
    <w:p w:rsidR="00BE1CF9" w:rsidRDefault="00BE1CF9" w:rsidP="00BE1CF9">
      <w:pPr>
        <w:pStyle w:val="Bodytext0"/>
        <w:spacing w:after="140" w:line="240" w:lineRule="auto"/>
        <w:jc w:val="center"/>
        <w:rPr>
          <w:b/>
          <w:bCs/>
          <w:lang w:val="sq-AL"/>
        </w:rPr>
      </w:pPr>
    </w:p>
    <w:p w:rsidR="00BE1CF9" w:rsidRDefault="00BE1CF9" w:rsidP="00BE1CF9">
      <w:pPr>
        <w:pStyle w:val="Bodytext0"/>
        <w:spacing w:after="140" w:line="240" w:lineRule="auto"/>
        <w:jc w:val="center"/>
        <w:rPr>
          <w:b/>
          <w:bCs/>
          <w:lang w:val="sq-AL"/>
        </w:rP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BE1CF9" w:rsidRDefault="00BE1CF9" w:rsidP="00BE1CF9">
      <w:pPr>
        <w:pStyle w:val="Bodytext0"/>
        <w:spacing w:after="140" w:line="240" w:lineRule="auto"/>
        <w:jc w:val="center"/>
      </w:pPr>
    </w:p>
    <w:p w:rsidR="00D65C97" w:rsidRPr="00C1447F" w:rsidRDefault="003B25C9" w:rsidP="00BE1CF9">
      <w:pPr>
        <w:pStyle w:val="Bodytext0"/>
        <w:spacing w:after="140" w:line="240" w:lineRule="auto"/>
        <w:jc w:val="center"/>
        <w:rPr>
          <w:b/>
        </w:rPr>
        <w:sectPr w:rsidR="00D65C97" w:rsidRPr="00C1447F">
          <w:pgSz w:w="11900" w:h="16840"/>
          <w:pgMar w:top="1541" w:right="1390" w:bottom="825" w:left="1395" w:header="1113" w:footer="397" w:gutter="0"/>
          <w:pgNumType w:start="1"/>
          <w:cols w:space="720"/>
          <w:noEndnote/>
          <w:docGrid w:linePitch="360"/>
        </w:sectPr>
      </w:pPr>
      <w:r w:rsidRPr="00C1447F">
        <w:rPr>
          <w:b/>
        </w:rPr>
        <w:t xml:space="preserve">2025, </w:t>
      </w:r>
      <w:r w:rsidR="00BE1CF9" w:rsidRPr="00C1447F">
        <w:rPr>
          <w:b/>
        </w:rPr>
        <w:t>SHKUP</w:t>
      </w:r>
    </w:p>
    <w:p w:rsidR="00D65C97" w:rsidRDefault="00BE1CF9">
      <w:pPr>
        <w:pStyle w:val="Heading30"/>
        <w:keepNext/>
        <w:keepLines/>
        <w:numPr>
          <w:ilvl w:val="0"/>
          <w:numId w:val="1"/>
        </w:numPr>
        <w:tabs>
          <w:tab w:val="left" w:pos="730"/>
        </w:tabs>
        <w:spacing w:after="540" w:line="240" w:lineRule="auto"/>
        <w:ind w:firstLine="380"/>
        <w:jc w:val="both"/>
      </w:pPr>
      <w:bookmarkStart w:id="1" w:name="bookmark2"/>
      <w:r w:rsidRPr="00CE5397">
        <w:rPr>
          <w:lang w:val="sq-AL"/>
        </w:rPr>
        <w:lastRenderedPageBreak/>
        <w:t>Mbikëqyrje mbi ekzekutimin e ak</w:t>
      </w:r>
      <w:r>
        <w:rPr>
          <w:lang w:val="sq-AL"/>
        </w:rPr>
        <w:t>tgjykimeve dhe vendimeve të GJED</w:t>
      </w:r>
      <w:r w:rsidRPr="00CE5397">
        <w:rPr>
          <w:lang w:val="sq-AL"/>
        </w:rPr>
        <w:t>NJ-së</w:t>
      </w:r>
      <w:r>
        <w:t xml:space="preserve"> </w:t>
      </w:r>
      <w:bookmarkEnd w:id="1"/>
    </w:p>
    <w:p w:rsidR="00D65C97" w:rsidRDefault="00BE1CF9">
      <w:pPr>
        <w:pStyle w:val="Bodytext0"/>
        <w:jc w:val="both"/>
      </w:pPr>
      <w:r w:rsidRPr="00CE5397">
        <w:rPr>
          <w:rStyle w:val="rynqvb"/>
          <w:rFonts w:eastAsia="Georgia"/>
          <w:lang w:val="sq-AL"/>
        </w:rPr>
        <w:t xml:space="preserve">Në përputhje me </w:t>
      </w:r>
      <w:r>
        <w:rPr>
          <w:rStyle w:val="rynqvb"/>
          <w:rFonts w:eastAsia="Georgia"/>
          <w:lang w:val="sq-AL"/>
        </w:rPr>
        <w:t>N</w:t>
      </w:r>
      <w:r w:rsidRPr="00CE5397">
        <w:rPr>
          <w:rStyle w:val="rynqvb"/>
          <w:rFonts w:eastAsia="Georgia"/>
          <w:lang w:val="sq-AL"/>
        </w:rPr>
        <w:t xml:space="preserve">enin 46 të Konventës Evropiane për të Drejtat e Njeriut (në tekstin e </w:t>
      </w:r>
      <w:bookmarkStart w:id="2" w:name="_Hlk196336887"/>
      <w:r w:rsidRPr="00CE5397">
        <w:rPr>
          <w:rStyle w:val="rynqvb"/>
          <w:rFonts w:eastAsia="Georgia"/>
          <w:lang w:val="sq-AL"/>
        </w:rPr>
        <w:t>mëtejshëm</w:t>
      </w:r>
      <w:bookmarkEnd w:id="2"/>
      <w:r w:rsidRPr="00CE5397">
        <w:rPr>
          <w:rStyle w:val="rynqvb"/>
          <w:rFonts w:eastAsia="Georgia"/>
          <w:lang w:val="sq-AL"/>
        </w:rPr>
        <w:t>: KEDNJ, Konventa), Komiteti i Ministrave mbikëqyr ekzekutimin e vendimeve të Gjykatës Evropiane për të Drejtat e Njeriut (në tekstin e mëtejshëm: GJEDNJ, Gjykata).</w:t>
      </w:r>
      <w:r>
        <w:rPr>
          <w:rStyle w:val="rynqvb"/>
          <w:rFonts w:eastAsia="Georgia"/>
          <w:lang w:val="sq-AL"/>
        </w:rPr>
        <w:t xml:space="preserve"> </w:t>
      </w:r>
      <w:r w:rsidRPr="00CE5397">
        <w:rPr>
          <w:rStyle w:val="rynqvb"/>
          <w:rFonts w:eastAsia="Georgia"/>
          <w:lang w:val="sq-AL"/>
        </w:rPr>
        <w:t>Komiteti e ushtron këtë autoritet në parim gjatë 4 mbledhjeve të rregullta në vit</w:t>
      </w:r>
      <w:r w:rsidRPr="00CE5397">
        <w:rPr>
          <w:lang w:val="sq-AL"/>
        </w:rPr>
        <w:t xml:space="preserve"> (</w:t>
      </w:r>
      <w:r w:rsidRPr="00CE5397">
        <w:rPr>
          <w:i/>
          <w:iCs/>
          <w:lang w:val="sq-AL"/>
        </w:rPr>
        <w:t>1.)И тееИпдѕ</w:t>
      </w:r>
      <w:r w:rsidRPr="00CE5397">
        <w:rPr>
          <w:lang w:val="sq-AL"/>
        </w:rPr>
        <w:t xml:space="preserve">). </w:t>
      </w:r>
      <w:r w:rsidRPr="00CE5397">
        <w:rPr>
          <w:rStyle w:val="rynqvb"/>
          <w:rFonts w:eastAsia="Georgia"/>
          <w:lang w:val="sq-AL"/>
        </w:rPr>
        <w:t>Thelbi i kësaj kompetence të Komitetit të Ministrave është të sigurojë ekzekutimin e vendimev</w:t>
      </w:r>
      <w:r>
        <w:rPr>
          <w:rStyle w:val="rynqvb"/>
          <w:rFonts w:eastAsia="Georgia"/>
          <w:lang w:val="sq-AL"/>
        </w:rPr>
        <w:t>e dhe vendimeve të caktuara të GJ</w:t>
      </w:r>
      <w:r w:rsidRPr="00CE5397">
        <w:rPr>
          <w:rStyle w:val="rynqvb"/>
          <w:rFonts w:eastAsia="Georgia"/>
          <w:lang w:val="sq-AL"/>
        </w:rPr>
        <w:t>EDNJ-së nga shtetet anëtare të Këshillit të Evropës</w:t>
      </w:r>
      <w:r w:rsidRPr="00CE5397">
        <w:rPr>
          <w:lang w:val="sq-AL"/>
        </w:rPr>
        <w:t xml:space="preserve">. </w:t>
      </w:r>
      <w:r w:rsidRPr="00CE5397">
        <w:rPr>
          <w:rStyle w:val="rynqvb"/>
          <w:rFonts w:eastAsia="Georgia"/>
          <w:lang w:val="sq-AL"/>
        </w:rPr>
        <w:t>Komiteti përfundon mbikëqyrjen e tij të zbatimit të çdo rasti individual duke miratuar rezolutë përfundimtare. Vendimet përfundimtare si dhe të përkohshme dhe vendimet e tjera që Komiteti i Ministrave mund të miratojë në lidhje me mbikëqyrjen e ekzekutimit të një çështjeje të caktuar bëhen publike nga Komiteti i Ministrave</w:t>
      </w:r>
      <w:r w:rsidR="003B25C9">
        <w:t>.</w:t>
      </w:r>
    </w:p>
    <w:p w:rsidR="00D65C97" w:rsidRDefault="00BE1CF9">
      <w:pPr>
        <w:pStyle w:val="Heading30"/>
        <w:keepNext/>
        <w:keepLines/>
        <w:numPr>
          <w:ilvl w:val="0"/>
          <w:numId w:val="1"/>
        </w:numPr>
        <w:tabs>
          <w:tab w:val="left" w:pos="730"/>
        </w:tabs>
        <w:ind w:firstLine="380"/>
        <w:jc w:val="both"/>
      </w:pPr>
      <w:bookmarkStart w:id="3" w:name="bookmark4"/>
      <w:r w:rsidRPr="00CE5397">
        <w:rPr>
          <w:lang w:val="sq-AL"/>
        </w:rPr>
        <w:t>Fushëveprimi i mbikëqyrjes që kryen Komiteti i Ministrave</w:t>
      </w:r>
      <w:r>
        <w:t xml:space="preserve"> </w:t>
      </w:r>
      <w:bookmarkEnd w:id="3"/>
    </w:p>
    <w:p w:rsidR="00D65C97" w:rsidRDefault="00BE1CF9">
      <w:pPr>
        <w:pStyle w:val="Bodytext0"/>
        <w:jc w:val="both"/>
      </w:pPr>
      <w:r w:rsidRPr="00CE5397">
        <w:rPr>
          <w:rStyle w:val="rynqvb"/>
          <w:rFonts w:eastAsia="Georgia"/>
          <w:lang w:val="sq-AL"/>
        </w:rPr>
        <w:t>Nga shtetet pritet të marrin dy lloje masash në procesin e ekzekutimit të vendimeve të GJEDNJ-së, përkatësisht masa individuale dhe të përgjithshme</w:t>
      </w:r>
      <w:r w:rsidR="003B25C9">
        <w:t>.</w:t>
      </w:r>
    </w:p>
    <w:p w:rsidR="00D65C97" w:rsidRDefault="00BE1CF9">
      <w:pPr>
        <w:pStyle w:val="Bodytext0"/>
        <w:jc w:val="both"/>
      </w:pPr>
      <w:r w:rsidRPr="00CE5397">
        <w:rPr>
          <w:b/>
          <w:bCs/>
          <w:lang w:val="sq-AL"/>
        </w:rPr>
        <w:t>Masa individuale</w:t>
      </w:r>
      <w:r>
        <w:t xml:space="preserve"> </w:t>
      </w:r>
      <w:r w:rsidR="003B25C9">
        <w:t xml:space="preserve">- </w:t>
      </w:r>
      <w:r w:rsidRPr="00CE5397">
        <w:rPr>
          <w:rStyle w:val="rynqvb"/>
          <w:rFonts w:eastAsia="Georgia"/>
          <w:lang w:val="sq-AL"/>
        </w:rPr>
        <w:t xml:space="preserve">lidhen dhe i drejtohen aplikantit. Ato synojnë eliminimin e pasojave që ka pësuar aplikanti si rezultat i shkeljeve të Konventës të konstatuara në vendimin e GJEDNJ-së dhe kanë për qëllim </w:t>
      </w:r>
      <w:r w:rsidRPr="00CE5397">
        <w:rPr>
          <w:lang w:val="sq-AL"/>
        </w:rPr>
        <w:t>„</w:t>
      </w:r>
      <w:r w:rsidRPr="00CE5397">
        <w:rPr>
          <w:i/>
          <w:iCs/>
          <w:lang w:val="sq-AL"/>
        </w:rPr>
        <w:t>геѕШиИо ш пнедгит</w:t>
      </w:r>
      <w:r w:rsidRPr="00CE5397">
        <w:rPr>
          <w:lang w:val="sq-AL"/>
        </w:rPr>
        <w:t>” (kthimin në gjendjen e mëparshme) në masën më të madhe të mundur</w:t>
      </w:r>
      <w:r w:rsidR="003B25C9">
        <w:t>.</w:t>
      </w:r>
    </w:p>
    <w:p w:rsidR="00D65C97" w:rsidRDefault="00BE1CF9">
      <w:pPr>
        <w:pStyle w:val="Bodytext0"/>
        <w:jc w:val="both"/>
      </w:pPr>
      <w:r w:rsidRPr="00CE5397">
        <w:rPr>
          <w:rStyle w:val="rynqvb"/>
          <w:rFonts w:eastAsia="Georgia"/>
          <w:lang w:val="sq-AL"/>
        </w:rPr>
        <w:t>Detyrimi për marrjen e masave individuale ka dy aspekte.</w:t>
      </w:r>
      <w:r>
        <w:rPr>
          <w:rStyle w:val="rynqvb"/>
          <w:rFonts w:eastAsia="Georgia"/>
          <w:lang w:val="sq-AL"/>
        </w:rPr>
        <w:t xml:space="preserve"> </w:t>
      </w:r>
      <w:r w:rsidRPr="00CE5397">
        <w:rPr>
          <w:rStyle w:val="rynqvb"/>
          <w:rFonts w:eastAsia="Georgia"/>
          <w:lang w:val="sq-AL"/>
        </w:rPr>
        <w:t xml:space="preserve">Përkatësisht, shteti ka si detyrim t'i paguajë </w:t>
      </w:r>
      <w:r w:rsidR="00C1447F">
        <w:rPr>
          <w:rStyle w:val="rynqvb"/>
          <w:rFonts w:eastAsia="Georgia"/>
          <w:lang w:val="sq-AL"/>
        </w:rPr>
        <w:t>aplikantit</w:t>
      </w:r>
      <w:r w:rsidRPr="00CE5397">
        <w:rPr>
          <w:rStyle w:val="rynqvb"/>
          <w:rFonts w:eastAsia="Georgia"/>
          <w:lang w:val="sq-AL"/>
        </w:rPr>
        <w:t xml:space="preserve"> një </w:t>
      </w:r>
      <w:r w:rsidRPr="00CE5397">
        <w:rPr>
          <w:rStyle w:val="rynqvb"/>
          <w:rFonts w:eastAsia="Georgia"/>
          <w:i/>
          <w:lang w:val="sq-AL"/>
        </w:rPr>
        <w:t>shumë të caktuar parash si kompensim të drejtë</w:t>
      </w:r>
      <w:r w:rsidRPr="00CE5397">
        <w:rPr>
          <w:lang w:val="sq-AL"/>
        </w:rPr>
        <w:t xml:space="preserve">, </w:t>
      </w:r>
      <w:r w:rsidRPr="00CE5397">
        <w:rPr>
          <w:rStyle w:val="rynqvb"/>
          <w:rFonts w:eastAsia="Georgia"/>
          <w:lang w:val="sq-AL"/>
        </w:rPr>
        <w:t>përkatësisht kompensim për shkeljen e konstatuar të Konventës, dhe gjykuar nga GJEDNJ-ja në përputhje me Nenin 41 të Konventës</w:t>
      </w:r>
      <w:r w:rsidR="003B25C9">
        <w:t>.</w:t>
      </w:r>
    </w:p>
    <w:p w:rsidR="00D65C97" w:rsidRDefault="00BE1CF9">
      <w:pPr>
        <w:pStyle w:val="Bodytext0"/>
        <w:jc w:val="both"/>
      </w:pPr>
      <w:r w:rsidRPr="00CE5397">
        <w:rPr>
          <w:rStyle w:val="rynqvb"/>
          <w:rFonts w:eastAsia="Georgia"/>
          <w:lang w:val="sq-AL"/>
        </w:rPr>
        <w:t>Aspekti i dytë i referohet faktit se pasojat e shkeljes nuk korrigjohen gjithmonë në mënyrë adekuate vetëm me pagesën e kompensimit të drejtë në shumën e akorduar nga GJEDNJ-ja ose thjesht me konstatimin e shkeljes së KEDNJ-së.</w:t>
      </w:r>
      <w:r>
        <w:rPr>
          <w:rStyle w:val="rynqvb"/>
          <w:rFonts w:eastAsia="Georgia"/>
          <w:lang w:val="sq-AL"/>
        </w:rPr>
        <w:t xml:space="preserve"> </w:t>
      </w:r>
      <w:r w:rsidRPr="00CE5397">
        <w:rPr>
          <w:lang w:val="sq-AL"/>
        </w:rPr>
        <w:t xml:space="preserve">në varësi të rrethanave, obligimi për </w:t>
      </w:r>
      <w:r w:rsidRPr="00CE5397">
        <w:rPr>
          <w:i/>
          <w:iCs/>
          <w:lang w:val="sq-AL"/>
        </w:rPr>
        <w:t>геѕШиИо ш пнедгит,</w:t>
      </w:r>
      <w:r>
        <w:rPr>
          <w:i/>
          <w:iCs/>
          <w:lang w:val="sq-AL"/>
        </w:rPr>
        <w:t xml:space="preserve"> </w:t>
      </w:r>
      <w:r w:rsidRPr="00CE5397">
        <w:rPr>
          <w:rStyle w:val="rynqvb"/>
          <w:rFonts w:eastAsia="Georgia"/>
          <w:lang w:val="sq-AL"/>
        </w:rPr>
        <w:t>mund të kërkojë marrjen e masave të mëtejshme, si p.sh. përsëritjen e procedurës që GJEDNJ-ja ka konstatuar se është kryer në kundërshtim me Nenin 6 të Konventës (e drejta për një gjykim të drejtë), etj</w:t>
      </w:r>
      <w:r w:rsidR="003B25C9">
        <w:t>.</w:t>
      </w:r>
    </w:p>
    <w:p w:rsidR="00D65C97" w:rsidRDefault="00A85F4A">
      <w:pPr>
        <w:pStyle w:val="Bodytext0"/>
        <w:jc w:val="both"/>
      </w:pPr>
      <w:r w:rsidRPr="00CE5397">
        <w:rPr>
          <w:b/>
          <w:bCs/>
          <w:lang w:val="sq-AL"/>
        </w:rPr>
        <w:lastRenderedPageBreak/>
        <w:t>Masa të përgjithshme</w:t>
      </w:r>
      <w:r w:rsidRPr="00CE5397">
        <w:rPr>
          <w:lang w:val="sq-AL"/>
        </w:rPr>
        <w:t xml:space="preserve">- </w:t>
      </w:r>
      <w:r w:rsidRPr="00CE5397">
        <w:rPr>
          <w:rStyle w:val="rynqvb"/>
          <w:rFonts w:eastAsia="Georgia"/>
          <w:lang w:val="sq-AL"/>
        </w:rPr>
        <w:t>i referohen detyrimit të shtetit për të parandaluar shkelje të ngjashme të Konventës në të ardhmen ose për t'i dhënë fund shkeljeve të vazhdueshme të Konventës (si p.sh., ndryshimet legjislative apo edhe kushtetuese ose rritjen</w:t>
      </w:r>
      <w:r>
        <w:rPr>
          <w:rStyle w:val="rynqvb"/>
          <w:rFonts w:eastAsia="Georgia"/>
          <w:lang w:val="sq-AL"/>
        </w:rPr>
        <w:t xml:space="preserve"> </w:t>
      </w:r>
      <w:r w:rsidRPr="00CE5397">
        <w:rPr>
          <w:rStyle w:val="rynqvb"/>
          <w:rFonts w:eastAsia="Georgia"/>
          <w:lang w:val="sq-AL"/>
        </w:rPr>
        <w:t>e numrit</w:t>
      </w:r>
      <w:r>
        <w:rPr>
          <w:rStyle w:val="rynqvb"/>
          <w:rFonts w:eastAsia="Georgia"/>
          <w:lang w:val="sq-AL"/>
        </w:rPr>
        <w:t xml:space="preserve"> </w:t>
      </w:r>
      <w:r w:rsidRPr="00CE5397">
        <w:rPr>
          <w:rStyle w:val="rynqvb"/>
          <w:rFonts w:eastAsia="Georgia"/>
          <w:lang w:val="sq-AL"/>
        </w:rPr>
        <w:t>të personelit, ndryshime në praktikat ekzistuese, etj.).</w:t>
      </w:r>
      <w:r>
        <w:rPr>
          <w:rStyle w:val="rynqvb"/>
          <w:rFonts w:eastAsia="Georgia"/>
          <w:lang w:val="sq-AL"/>
        </w:rPr>
        <w:t xml:space="preserve"> </w:t>
      </w:r>
      <w:r w:rsidRPr="00CE5397">
        <w:rPr>
          <w:rStyle w:val="rynqvb"/>
          <w:rFonts w:eastAsia="Georgia"/>
          <w:lang w:val="sq-AL"/>
        </w:rPr>
        <w:t>Gjatë vlerësimit të masave të përgjithshme, Komiteti i Ministrave i kushton vëmendje të veçantë efektivitetit të masave në drejtim të parandalimit të shkeljeve të ngjashme të KEDNJ-së në të ardhmen dhe në këtë mënyrë parandalimit të të ashtuquajturave "rastet e klonimit/përsëritjes" para GJEDNJ-së, duke pretenduar shkelje të njëjta ose të ngjashme të Konventës si ato të përcaktuara tashmë nga GJEDNJ-ja në vendimet e mëparshme</w:t>
      </w:r>
      <w:r w:rsidRPr="00CE5397">
        <w:rPr>
          <w:lang w:val="sq-AL"/>
        </w:rPr>
        <w:t xml:space="preserve">. </w:t>
      </w:r>
      <w:r w:rsidRPr="00CE5397">
        <w:rPr>
          <w:rStyle w:val="rynqvb"/>
          <w:rFonts w:eastAsia="Georgia"/>
          <w:lang w:val="sq-AL"/>
        </w:rPr>
        <w:t>Kjo është veçanërisht e rëndësishme duke pasur parasysh numrin jashtëzakonisht të madh të aplikimeve me të cilat është përballur GJEDNJ-ja në vitet e fundit dhe nevojën për të garantuar efikasitetin afatgjatë të sistemit të ekzekutimit</w:t>
      </w:r>
      <w:r w:rsidR="003B25C9">
        <w:t>.</w:t>
      </w:r>
    </w:p>
    <w:p w:rsidR="00D65C97" w:rsidRDefault="00A85F4A">
      <w:pPr>
        <w:pStyle w:val="Bodytext0"/>
        <w:jc w:val="both"/>
      </w:pPr>
      <w:r w:rsidRPr="00CE5397">
        <w:rPr>
          <w:rStyle w:val="rynqvb"/>
          <w:rFonts w:eastAsia="Georgia"/>
          <w:lang w:val="sq-AL"/>
        </w:rPr>
        <w:t xml:space="preserve">Shtrirja e masave ekzekutive që Komiteti i Ministrave do të kërkojë ose pret në procesin e ekzekutimit të një </w:t>
      </w:r>
      <w:r>
        <w:rPr>
          <w:rStyle w:val="rynqvb"/>
          <w:rFonts w:eastAsia="Georgia"/>
          <w:lang w:val="sq-AL"/>
        </w:rPr>
        <w:t>aktgjykimi</w:t>
      </w:r>
      <w:r w:rsidRPr="00CE5397">
        <w:rPr>
          <w:rStyle w:val="rynqvb"/>
          <w:rFonts w:eastAsia="Georgia"/>
          <w:lang w:val="sq-AL"/>
        </w:rPr>
        <w:t xml:space="preserve"> varet nga konkluzionet e </w:t>
      </w:r>
      <w:r>
        <w:rPr>
          <w:rStyle w:val="rynqvb"/>
          <w:rFonts w:eastAsia="Georgia"/>
          <w:lang w:val="sq-AL"/>
        </w:rPr>
        <w:t>aktgjykimit</w:t>
      </w:r>
      <w:r w:rsidRPr="00CE5397">
        <w:rPr>
          <w:rStyle w:val="rynqvb"/>
          <w:rFonts w:eastAsia="Georgia"/>
          <w:lang w:val="sq-AL"/>
        </w:rPr>
        <w:t xml:space="preserve"> të GJEDNJ-së, parë nga këndvështrimi i praktikës së Komitetit të Ministrave dhe informacioni përkatës për situatën në nivel kombëtar.</w:t>
      </w:r>
      <w:r>
        <w:rPr>
          <w:rStyle w:val="rynqvb"/>
          <w:rFonts w:eastAsia="Georgia"/>
          <w:lang w:val="sq-AL"/>
        </w:rPr>
        <w:t xml:space="preserve"> </w:t>
      </w:r>
      <w:r w:rsidRPr="00CE5397">
        <w:rPr>
          <w:rStyle w:val="rynqvb"/>
          <w:rFonts w:eastAsia="Georgia"/>
          <w:lang w:val="sq-AL"/>
        </w:rPr>
        <w:t xml:space="preserve">Kështu, ndonjëherë në procesin e monitorimit dhe mbikëqyrjes së ekzekutimit të </w:t>
      </w:r>
      <w:r>
        <w:rPr>
          <w:rStyle w:val="rynqvb"/>
          <w:rFonts w:eastAsia="Georgia"/>
          <w:lang w:val="sq-AL"/>
        </w:rPr>
        <w:t>aktgjykimeve</w:t>
      </w:r>
      <w:r w:rsidRPr="00CE5397">
        <w:rPr>
          <w:rStyle w:val="rynqvb"/>
          <w:rFonts w:eastAsia="Georgia"/>
          <w:lang w:val="sq-AL"/>
        </w:rPr>
        <w:t>, Komiteti i Ministrave mund ta konsiderojë të nevojshme të presë që GJEDNJ-ja të miratojë vendime të tjera shtesë që do t'i përgjigjen pyetjes nëse aplikimet e reja të një natyre të ngjashme janë të papranueshme, gjë që dëshmon se masat e përgjithshme të marra kanë dhënë fryte dhe janë efektive në parandalimin e shkeljeve të ngjashme në të ardhmen ose çojnë në përfundimin se aplikanti vazhdon të vuajë pasojat e shkeljeve të KEDNJ-së ose është ende viktimë e shkeljeve të konstatuara tashmë</w:t>
      </w:r>
      <w:r w:rsidR="003B25C9">
        <w:t>.</w:t>
      </w:r>
    </w:p>
    <w:p w:rsidR="00D65C97" w:rsidRDefault="00A85F4A">
      <w:pPr>
        <w:pStyle w:val="Bodytext0"/>
        <w:jc w:val="both"/>
      </w:pPr>
      <w:r w:rsidRPr="00CE5397">
        <w:rPr>
          <w:rStyle w:val="rynqvb"/>
          <w:rFonts w:eastAsia="Georgia"/>
          <w:lang w:val="sq-AL"/>
        </w:rPr>
        <w:t>Në lidhje me pagesën e kompensimit të drejtë, kushtet për ekzekutim janë më së shpeshti pjesë përbërëse e vetë aktgjykimit të GJEDNJ-së (afati i pagesës, valuta, kamata e vonesës, etj.). Megjithatë, pagesa, si në shtetet e tjera anëtare të Këshillit të Evropës, nganjëherë ngre çështje komplekse, për shembull në rastet kur, sipas gjykimit, shuma duhet t'i paguhet aplikantit, dhe avokatët kërkojnë që pagesa të bëhet në llogaritë e tyre, ose kur aplikantët, për arsye të caktuara, refuzojnë të bashkëpunojnë dhe nuk japin të dhënat e nevojshme për pagesën pa pengesa të shumës së dhënë etj</w:t>
      </w:r>
      <w:r w:rsidRPr="00CE5397">
        <w:rPr>
          <w:lang w:val="sq-AL"/>
        </w:rPr>
        <w:t xml:space="preserve">. </w:t>
      </w:r>
      <w:r w:rsidRPr="00CE5397">
        <w:rPr>
          <w:rStyle w:val="rynqvb"/>
          <w:rFonts w:eastAsia="Georgia"/>
          <w:lang w:val="sq-AL"/>
        </w:rPr>
        <w:t>Raste të tilla zgjidhen në përputhje me praktikën e Komitetit të Ministrave</w:t>
      </w:r>
      <w:r>
        <w:rPr>
          <w:rStyle w:val="rynqvb"/>
          <w:rFonts w:eastAsia="Georgia"/>
          <w:lang w:val="sq-AL"/>
        </w:rPr>
        <w:t xml:space="preserve"> </w:t>
      </w:r>
      <w:r w:rsidRPr="00CE5397">
        <w:rPr>
          <w:lang w:val="sq-AL"/>
        </w:rPr>
        <w:t>(për më shumë shiko dokumentin СМ/1pgj/ОН(2008)7gjта1</w:t>
      </w:r>
      <w:r w:rsidR="003B25C9">
        <w:t>).</w:t>
      </w:r>
    </w:p>
    <w:p w:rsidR="00D65C97" w:rsidRDefault="00A12F42">
      <w:pPr>
        <w:pStyle w:val="Bodytext0"/>
        <w:jc w:val="both"/>
      </w:pPr>
      <w:r w:rsidRPr="00CE5397">
        <w:rPr>
          <w:rStyle w:val="rynqvb"/>
          <w:rFonts w:eastAsia="Georgia"/>
          <w:lang w:val="sq-AL"/>
        </w:rPr>
        <w:t>Për sa i përket natyrës dhe shtrirjes së masave të nevojshme për zbatimin e vendimit, qofshin masa individuale apo të përgjithshme, vendimet në parim nuk janë shumë fleksibël</w:t>
      </w:r>
      <w:r w:rsidRPr="00CE5397">
        <w:rPr>
          <w:lang w:val="sq-AL"/>
        </w:rPr>
        <w:t xml:space="preserve">. </w:t>
      </w:r>
      <w:r w:rsidRPr="00CE5397">
        <w:rPr>
          <w:rStyle w:val="rynqvb"/>
          <w:rFonts w:eastAsia="Georgia"/>
          <w:lang w:val="sq-AL"/>
        </w:rPr>
        <w:t xml:space="preserve">Masa të </w:t>
      </w:r>
      <w:r w:rsidRPr="00CE5397">
        <w:rPr>
          <w:rStyle w:val="rynqvb"/>
          <w:rFonts w:eastAsia="Georgia"/>
          <w:lang w:val="sq-AL"/>
        </w:rPr>
        <w:lastRenderedPageBreak/>
        <w:t>tilla, si në shumë raste të konstatuara edhe nga vetë GJEDNJ-ja, duhet të identifikohen nga vetë shtetet, nën mbikëqyrjen e Komitetit të Ministrave.</w:t>
      </w:r>
      <w:r>
        <w:rPr>
          <w:rStyle w:val="rynqvb"/>
          <w:rFonts w:eastAsia="Georgia"/>
          <w:lang w:val="sq-AL"/>
        </w:rPr>
        <w:t xml:space="preserve"> </w:t>
      </w:r>
      <w:r w:rsidRPr="00CE5397">
        <w:rPr>
          <w:rStyle w:val="rynqvb"/>
          <w:rFonts w:eastAsia="Georgia"/>
          <w:lang w:val="sq-AL"/>
        </w:rPr>
        <w:t>Për këto nevoja, autoritetet kombëtare mund të gjejnë udhëzime në praktikën e pasur të shteteve të tjera që është zhvilluar ndër vite dhe rekomandimet e Komitetit të Ministrave.</w:t>
      </w:r>
      <w:r>
        <w:rPr>
          <w:rStyle w:val="rynqvb"/>
          <w:rFonts w:eastAsia="Georgia"/>
          <w:lang w:val="sq-AL"/>
        </w:rPr>
        <w:t xml:space="preserve"> </w:t>
      </w:r>
      <w:r w:rsidRPr="00CE5397">
        <w:rPr>
          <w:rStyle w:val="rynqvb"/>
          <w:rFonts w:eastAsia="Georgia"/>
          <w:lang w:val="sq-AL"/>
        </w:rPr>
        <w:t>Kjo situatë shpjegohet me parimin e subsidiaritetit, sipas të cilit shteti përgjegjës ka, në parim, lirinë e zgjedhjes në lidhje me masat që do të marrë për të përmbushur detyrimet e tij sipas KEDNJ-së, në lidhje me ekzekutimin e aktgjykimeve.</w:t>
      </w:r>
      <w:r>
        <w:rPr>
          <w:rStyle w:val="rynqvb"/>
          <w:rFonts w:eastAsia="Georgia"/>
          <w:lang w:val="sq-AL"/>
        </w:rPr>
        <w:t xml:space="preserve"> </w:t>
      </w:r>
      <w:r w:rsidRPr="00CE5397">
        <w:rPr>
          <w:rStyle w:val="rynqvb"/>
          <w:rFonts w:eastAsia="Georgia"/>
          <w:lang w:val="sq-AL"/>
        </w:rPr>
        <w:t>Megjithatë, kjo liri shkon paralelisht me kontrollin nga Komiteti i Ministrave, i cili, gjatë mbikëqyrjes së ekzekutimit të një vendimi të caktuar, mund të miratojë vendime ose rezoluta të përkohshme për të shprehur kënaqësinë, shqetësimin, inkurajimin dhe/ose sugjerimet e tij në lidhje me masat e pritshme të ekzekutimit</w:t>
      </w:r>
      <w:r w:rsidR="003B25C9">
        <w:t>.</w:t>
      </w:r>
    </w:p>
    <w:p w:rsidR="00D65C97" w:rsidRDefault="00994D95">
      <w:pPr>
        <w:pStyle w:val="Bodytext0"/>
        <w:jc w:val="both"/>
      </w:pPr>
      <w:r w:rsidRPr="00CE5397">
        <w:rPr>
          <w:rStyle w:val="rynqvb"/>
          <w:rFonts w:eastAsia="Georgia"/>
          <w:lang w:val="sq-AL"/>
        </w:rPr>
        <w:t>Drejtoria e Përgjithshme për të Drejtat e Njeriut dhe Sundimin e Ligjit, përmes Seksionit për ekzekutimin e aktgjykimeve dhe vendimeve të GJEDNJ-së, gjegjësisht Sekretariatit, ndihmon Komitetin e Ministrave në mbikëqyrjen e masave të marra nga shteti në procesin e ekzekutimit të vendimeve të GJEDNJ-së</w:t>
      </w:r>
      <w:r w:rsidRPr="00CE5397">
        <w:rPr>
          <w:lang w:val="sq-AL"/>
        </w:rPr>
        <w:t xml:space="preserve">. </w:t>
      </w:r>
      <w:r w:rsidRPr="00CE5397">
        <w:rPr>
          <w:rStyle w:val="rynqvb"/>
          <w:rFonts w:eastAsia="Georgia"/>
          <w:lang w:val="sq-AL"/>
        </w:rPr>
        <w:t>Në procesin e ekzekutimit të një vendimi të caktuar, Seksioni mund t'i ofrojë shtetit ose, me kërkesë të tij, të përgjigjet me forma të ndryshme ndihme (këshilla, ekspertizë ligjore, tryeza të rrumbullakëta dhe forma të tjera të bashkëpunimit të synuar</w:t>
      </w:r>
      <w:r w:rsidR="003B25C9">
        <w:t>).</w:t>
      </w:r>
    </w:p>
    <w:p w:rsidR="00994D95" w:rsidRPr="00CE5397" w:rsidRDefault="00994D95" w:rsidP="00994D95">
      <w:pPr>
        <w:pStyle w:val="Heading30"/>
        <w:keepNext/>
        <w:keepLines/>
        <w:numPr>
          <w:ilvl w:val="0"/>
          <w:numId w:val="1"/>
        </w:numPr>
        <w:tabs>
          <w:tab w:val="left" w:pos="730"/>
        </w:tabs>
        <w:ind w:firstLine="380"/>
        <w:jc w:val="both"/>
        <w:rPr>
          <w:lang w:val="sq-AL"/>
        </w:rPr>
      </w:pPr>
      <w:bookmarkStart w:id="4" w:name="bookmark14"/>
      <w:bookmarkStart w:id="5" w:name="bookmark6"/>
      <w:r w:rsidRPr="00CE5397">
        <w:rPr>
          <w:lang w:val="sq-AL"/>
        </w:rPr>
        <w:t xml:space="preserve">Sistemi i mbikëqyrjes mbi ekzekutimin </w:t>
      </w:r>
      <w:bookmarkEnd w:id="4"/>
    </w:p>
    <w:bookmarkEnd w:id="5"/>
    <w:p w:rsidR="00D65C97" w:rsidRDefault="00994D95">
      <w:pPr>
        <w:pStyle w:val="Heading30"/>
        <w:keepNext/>
        <w:keepLines/>
        <w:ind w:firstLine="140"/>
        <w:jc w:val="both"/>
      </w:pPr>
      <w:r w:rsidRPr="00CE5397">
        <w:rPr>
          <w:lang w:val="sq-AL"/>
        </w:rPr>
        <w:t>Identifikimi i rasteve prioritare –sistemi i „dy</w:t>
      </w:r>
      <w:r>
        <w:rPr>
          <w:lang w:val="sq-AL"/>
        </w:rPr>
        <w:t xml:space="preserve"> </w:t>
      </w:r>
      <w:r w:rsidRPr="00CE5397">
        <w:rPr>
          <w:color w:val="auto"/>
          <w:lang w:val="sq-AL"/>
        </w:rPr>
        <w:t>pistave</w:t>
      </w:r>
      <w:r>
        <w:t xml:space="preserve"> </w:t>
      </w:r>
      <w:r w:rsidR="003B25C9">
        <w:t>“</w:t>
      </w:r>
    </w:p>
    <w:p w:rsidR="00D65C97" w:rsidRDefault="00994D95">
      <w:pPr>
        <w:pStyle w:val="Bodytext0"/>
        <w:spacing w:after="40"/>
        <w:jc w:val="both"/>
      </w:pPr>
      <w:r w:rsidRPr="00CE5397">
        <w:rPr>
          <w:rStyle w:val="rynqvb"/>
          <w:rFonts w:eastAsia="Georgia"/>
          <w:lang w:val="sq-AL"/>
        </w:rPr>
        <w:t>Për t'iu përgjigjur nevojave për efikasitet më të madh të sistemit të mbikëqyrjes mbi ekzekutimin e vendimeve të GJEDNJ-së, modeli i vitit 2010 parashikonte një sistem mbikëqyrjeje të bazuar në "dy pista"</w:t>
      </w:r>
      <w:r>
        <w:rPr>
          <w:rStyle w:val="rynqvb"/>
          <w:rFonts w:eastAsia="Georgia"/>
          <w:lang w:val="sq-AL"/>
        </w:rPr>
        <w:t xml:space="preserve"> </w:t>
      </w:r>
      <w:r w:rsidRPr="00CE5397">
        <w:rPr>
          <w:rStyle w:val="rynqvb"/>
          <w:rFonts w:eastAsia="Georgia"/>
          <w:lang w:val="sq-AL"/>
        </w:rPr>
        <w:t>i cili i mundëson Komitetit të Ministrave të fokusohet në lëndët nën</w:t>
      </w:r>
      <w:r>
        <w:rPr>
          <w:rStyle w:val="rynqvb"/>
          <w:rFonts w:eastAsia="Georgia"/>
          <w:lang w:val="sq-AL"/>
        </w:rPr>
        <w:t xml:space="preserve"> </w:t>
      </w:r>
      <w:r w:rsidRPr="00CE5397">
        <w:rPr>
          <w:lang w:val="sq-AL"/>
        </w:rPr>
        <w:t>„</w:t>
      </w:r>
      <w:r w:rsidRPr="00CE5397">
        <w:rPr>
          <w:i/>
          <w:iCs/>
          <w:lang w:val="sq-AL"/>
        </w:rPr>
        <w:t>mbikëqyrje të përforcuar“,</w:t>
      </w:r>
      <w:r>
        <w:rPr>
          <w:i/>
          <w:iCs/>
          <w:lang w:val="sq-AL"/>
        </w:rPr>
        <w:t xml:space="preserve"> </w:t>
      </w:r>
      <w:r w:rsidRPr="00CE5397">
        <w:rPr>
          <w:lang w:val="sq-AL"/>
        </w:rPr>
        <w:t xml:space="preserve">për ndryshim nga lëndët e tjera ekzekutimi i të cilave është nën </w:t>
      </w:r>
      <w:r w:rsidRPr="00CE5397">
        <w:rPr>
          <w:i/>
          <w:iCs/>
          <w:lang w:val="sq-AL"/>
        </w:rPr>
        <w:t>„</w:t>
      </w:r>
      <w:r>
        <w:rPr>
          <w:i/>
          <w:iCs/>
          <w:lang w:val="sq-AL"/>
        </w:rPr>
        <w:t>m</w:t>
      </w:r>
      <w:r w:rsidRPr="00CE5397">
        <w:rPr>
          <w:i/>
          <w:iCs/>
          <w:lang w:val="sq-AL"/>
        </w:rPr>
        <w:t>bikëqyrje standarde“</w:t>
      </w:r>
      <w:r>
        <w:rPr>
          <w:i/>
          <w:iCs/>
          <w:lang w:val="sq-AL"/>
        </w:rPr>
        <w:t xml:space="preserve"> </w:t>
      </w:r>
      <w:r w:rsidRPr="00CE5397">
        <w:rPr>
          <w:lang w:val="sq-AL"/>
        </w:rPr>
        <w:t>të Komitetit të Ministrave</w:t>
      </w:r>
      <w:r w:rsidR="003B25C9">
        <w:t>.</w:t>
      </w:r>
    </w:p>
    <w:p w:rsidR="00D65C97" w:rsidRDefault="00994D95">
      <w:pPr>
        <w:pStyle w:val="Bodytext0"/>
        <w:spacing w:after="40"/>
        <w:ind w:left="140"/>
      </w:pPr>
      <w:r w:rsidRPr="00CE5397">
        <w:rPr>
          <w:rStyle w:val="rynqvb"/>
          <w:rFonts w:eastAsia="Georgia"/>
          <w:lang w:val="sq-AL"/>
        </w:rPr>
        <w:t>Rregullat e Komitetit të Ministrave parashikojnë që të ndiqet "mbikëqyrja e përforcuar</w:t>
      </w:r>
      <w:r w:rsidR="003B25C9">
        <w:t>:</w:t>
      </w:r>
    </w:p>
    <w:p w:rsidR="00994D95" w:rsidRPr="00CE5397" w:rsidRDefault="00994D95" w:rsidP="00994D95">
      <w:pPr>
        <w:pStyle w:val="BodyText1"/>
        <w:numPr>
          <w:ilvl w:val="0"/>
          <w:numId w:val="7"/>
        </w:numPr>
        <w:tabs>
          <w:tab w:val="left" w:pos="860"/>
        </w:tabs>
        <w:spacing w:after="0" w:line="240" w:lineRule="auto"/>
        <w:jc w:val="both"/>
        <w:rPr>
          <w:sz w:val="24"/>
          <w:szCs w:val="24"/>
          <w:lang w:val="sq-AL"/>
        </w:rPr>
      </w:pPr>
      <w:r w:rsidRPr="00CE5397">
        <w:rPr>
          <w:rStyle w:val="rynqvb"/>
          <w:rFonts w:eastAsia="Georgia"/>
          <w:sz w:val="24"/>
          <w:szCs w:val="24"/>
          <w:lang w:val="sq-AL"/>
        </w:rPr>
        <w:t>lëndë që kërkojnë masa urgjente individuale</w:t>
      </w:r>
      <w:r w:rsidRPr="00CE5397">
        <w:rPr>
          <w:sz w:val="24"/>
          <w:szCs w:val="24"/>
          <w:lang w:val="sq-AL"/>
        </w:rPr>
        <w:t>;</w:t>
      </w:r>
    </w:p>
    <w:p w:rsidR="00994D95" w:rsidRPr="00CE5397" w:rsidRDefault="00994D95" w:rsidP="00994D95">
      <w:pPr>
        <w:pStyle w:val="BodyText1"/>
        <w:numPr>
          <w:ilvl w:val="0"/>
          <w:numId w:val="7"/>
        </w:numPr>
        <w:tabs>
          <w:tab w:val="left" w:pos="860"/>
        </w:tabs>
        <w:spacing w:after="0" w:line="240" w:lineRule="auto"/>
        <w:jc w:val="both"/>
        <w:rPr>
          <w:sz w:val="24"/>
          <w:szCs w:val="24"/>
          <w:lang w:val="sq-AL"/>
        </w:rPr>
      </w:pPr>
      <w:r w:rsidRPr="00CE5397">
        <w:rPr>
          <w:sz w:val="24"/>
          <w:szCs w:val="24"/>
          <w:lang w:val="sq-AL"/>
        </w:rPr>
        <w:t>aktgjykime-pilot;</w:t>
      </w:r>
    </w:p>
    <w:p w:rsidR="00994D95" w:rsidRPr="00CE5397" w:rsidRDefault="00994D95" w:rsidP="00994D95">
      <w:pPr>
        <w:pStyle w:val="BodyText1"/>
        <w:numPr>
          <w:ilvl w:val="0"/>
          <w:numId w:val="7"/>
        </w:numPr>
        <w:tabs>
          <w:tab w:val="left" w:pos="860"/>
        </w:tabs>
        <w:spacing w:after="0" w:line="240" w:lineRule="auto"/>
        <w:jc w:val="both"/>
        <w:rPr>
          <w:rStyle w:val="rynqvb"/>
          <w:sz w:val="24"/>
          <w:szCs w:val="24"/>
          <w:lang w:val="sq-AL"/>
        </w:rPr>
      </w:pPr>
      <w:r>
        <w:rPr>
          <w:rStyle w:val="rynqvb"/>
          <w:rFonts w:eastAsia="Georgia"/>
          <w:sz w:val="24"/>
          <w:szCs w:val="24"/>
          <w:lang w:val="sq-AL"/>
        </w:rPr>
        <w:t>akt</w:t>
      </w:r>
      <w:r w:rsidRPr="00CE5397">
        <w:rPr>
          <w:rStyle w:val="rynqvb"/>
          <w:rFonts w:eastAsia="Georgia"/>
          <w:sz w:val="24"/>
          <w:szCs w:val="24"/>
          <w:lang w:val="sq-AL"/>
        </w:rPr>
        <w:t>gjykime që tregojnë ekzistencën e problemeve të mëdha strukturore dhe/ose komplekse të   identifikuara nga GJEDNJ-ja dhe/ose Komiteti i Ministrave dhe</w:t>
      </w:r>
    </w:p>
    <w:p w:rsidR="00D65C97" w:rsidRDefault="00994D95" w:rsidP="00994D95">
      <w:pPr>
        <w:pStyle w:val="Bodytext0"/>
        <w:numPr>
          <w:ilvl w:val="0"/>
          <w:numId w:val="7"/>
        </w:numPr>
        <w:tabs>
          <w:tab w:val="left" w:pos="860"/>
        </w:tabs>
        <w:spacing w:line="432" w:lineRule="auto"/>
        <w:jc w:val="both"/>
      </w:pPr>
      <w:r w:rsidRPr="00CE5397">
        <w:rPr>
          <w:lang w:val="sq-AL"/>
        </w:rPr>
        <w:t>lëndë ndërshtetërore</w:t>
      </w:r>
      <w:r w:rsidR="003B25C9">
        <w:t>.</w:t>
      </w:r>
    </w:p>
    <w:p w:rsidR="00D65C97" w:rsidRDefault="00901892">
      <w:pPr>
        <w:pStyle w:val="Bodytext0"/>
        <w:ind w:left="140"/>
        <w:jc w:val="both"/>
      </w:pPr>
      <w:r w:rsidRPr="00CE5397">
        <w:rPr>
          <w:rStyle w:val="rynqvb"/>
          <w:rFonts w:eastAsia="Georgia"/>
          <w:lang w:val="sq-AL"/>
        </w:rPr>
        <w:lastRenderedPageBreak/>
        <w:t>Ky klasifikim i lëndëve bëhet nga Komiteti i Ministrave, i cili mund të vendosë të monitorojë çdo rast nën "mbikëqyrjen e përforcuar" me iniciativën e një shteti anëtar të Këshillit të Evropës ose me iniciativën e Sekretariatit.</w:t>
      </w:r>
      <w:r>
        <w:rPr>
          <w:rStyle w:val="rynqvb"/>
          <w:rFonts w:eastAsia="Georgia"/>
          <w:lang w:val="sq-AL"/>
        </w:rPr>
        <w:t xml:space="preserve"> </w:t>
      </w:r>
      <w:r w:rsidRPr="00CE5397">
        <w:rPr>
          <w:rStyle w:val="rynqvb"/>
          <w:rFonts w:eastAsia="Georgia"/>
          <w:lang w:val="sq-AL"/>
        </w:rPr>
        <w:t>Një iniciativë e tillë mund të jepet në çdo fazë të procedurës së mbikëqyrjes së ekzekutimit.</w:t>
      </w:r>
      <w:r>
        <w:rPr>
          <w:rStyle w:val="rynqvb"/>
          <w:rFonts w:eastAsia="Georgia"/>
          <w:lang w:val="sq-AL"/>
        </w:rPr>
        <w:t xml:space="preserve"> </w:t>
      </w:r>
      <w:r w:rsidRPr="00CE5397">
        <w:rPr>
          <w:rStyle w:val="rynqvb"/>
          <w:rFonts w:eastAsia="Georgia"/>
          <w:lang w:val="sq-AL"/>
        </w:rPr>
        <w:t>Në mënyrë të ngjashme, një rast, ekzekutimi i të cilit është nën "mbikëqyrje të përforcuar" mund të transferohet më pas në</w:t>
      </w:r>
      <w:r>
        <w:rPr>
          <w:rStyle w:val="rynqvb"/>
          <w:rFonts w:eastAsia="Georgia"/>
          <w:lang w:val="sq-AL"/>
        </w:rPr>
        <w:t xml:space="preserve"> </w:t>
      </w:r>
      <w:r w:rsidRPr="00CE5397">
        <w:rPr>
          <w:lang w:val="sq-AL"/>
        </w:rPr>
        <w:t>„mbikëqyrje standarde“</w:t>
      </w:r>
      <w:r>
        <w:rPr>
          <w:lang w:val="sq-AL"/>
        </w:rPr>
        <w:t xml:space="preserve"> </w:t>
      </w:r>
      <w:r w:rsidRPr="00CE5397">
        <w:rPr>
          <w:rStyle w:val="rynqvb"/>
          <w:rFonts w:eastAsia="Georgia"/>
          <w:lang w:val="sq-AL"/>
        </w:rPr>
        <w:t>kur zhvillimet brenda procesit kombëtar të zbatimit nuk tregojnë nevojë të mëtejshme për "mbikëqyrje të përforcuar"</w:t>
      </w:r>
      <w:r w:rsidRPr="00CE5397">
        <w:rPr>
          <w:lang w:val="sq-AL"/>
        </w:rPr>
        <w:t xml:space="preserve">. </w:t>
      </w:r>
      <w:r w:rsidRPr="00CE5397">
        <w:rPr>
          <w:rStyle w:val="rynqvb"/>
          <w:rFonts w:eastAsia="Georgia"/>
          <w:lang w:val="sq-AL"/>
        </w:rPr>
        <w:t>Për shembull, kalimi nga mbikëqyrja "e përforcuar" në "standarde" mund të ndodhë kur Komiteti i Ministrave është i kënaqur me planin e paraqitur të veprimit ose zbatimin e tij, kur shteti tejkalon pengesat që ekzistonin në procesin e ekzekutimit të një vendimi të caktuar, ose kur merren masa urgjente individuale që ishin të nevojshme në rrethanat e çështjes</w:t>
      </w:r>
      <w:r w:rsidR="003B25C9">
        <w:t>.</w:t>
      </w:r>
    </w:p>
    <w:p w:rsidR="00D65C97" w:rsidRDefault="00901892">
      <w:pPr>
        <w:pStyle w:val="Bodytext0"/>
        <w:spacing w:after="0"/>
        <w:ind w:left="140"/>
        <w:jc w:val="both"/>
      </w:pPr>
      <w:r w:rsidRPr="00CE5397">
        <w:rPr>
          <w:rStyle w:val="rynqvb"/>
          <w:rFonts w:eastAsia="Georgia"/>
          <w:lang w:val="sq-AL"/>
        </w:rPr>
        <w:t>Anasjelltas, kalimi nga "standard" në "mbikëqyrje të përforcuar" është i mundur për shkak të</w:t>
      </w:r>
      <w:r w:rsidR="003B25C9">
        <w:t>:</w:t>
      </w:r>
    </w:p>
    <w:p w:rsidR="00901892" w:rsidRPr="00CE5397" w:rsidRDefault="00901892" w:rsidP="00901892">
      <w:pPr>
        <w:pStyle w:val="BodyText1"/>
        <w:numPr>
          <w:ilvl w:val="0"/>
          <w:numId w:val="8"/>
        </w:numPr>
        <w:spacing w:after="40"/>
        <w:jc w:val="both"/>
        <w:rPr>
          <w:rStyle w:val="rynqvb"/>
          <w:rFonts w:eastAsia="Georgia"/>
          <w:i/>
          <w:iCs/>
          <w:sz w:val="24"/>
          <w:szCs w:val="24"/>
          <w:lang w:val="sq-AL"/>
        </w:rPr>
      </w:pPr>
      <w:r w:rsidRPr="00CE5397">
        <w:rPr>
          <w:rStyle w:val="rynqvb"/>
          <w:rFonts w:eastAsia="Georgia"/>
          <w:i/>
          <w:iCs/>
          <w:sz w:val="24"/>
          <w:szCs w:val="24"/>
          <w:lang w:val="sq-AL"/>
        </w:rPr>
        <w:t>dështimi për të depozituar plan veprimi, përkatësisht raport</w:t>
      </w:r>
    </w:p>
    <w:p w:rsidR="00D65C97" w:rsidRDefault="00901892">
      <w:pPr>
        <w:pStyle w:val="Bodytext0"/>
        <w:spacing w:after="40"/>
        <w:ind w:left="140"/>
        <w:jc w:val="both"/>
      </w:pPr>
      <w:r>
        <w:rPr>
          <w:rStyle w:val="rynqvb"/>
          <w:rFonts w:eastAsia="Georgia"/>
          <w:lang w:val="sq-AL"/>
        </w:rPr>
        <w:t>Kështu</w:t>
      </w:r>
      <w:r w:rsidRPr="00CE5397">
        <w:rPr>
          <w:rStyle w:val="rynqvb"/>
          <w:rFonts w:eastAsia="Georgia"/>
          <w:lang w:val="sq-AL"/>
        </w:rPr>
        <w:t>, nëse shteti nuk paraqet plan veprimi, përkatësisht raport brenda 6 muajve pas përfundimit të aktgjykimit të GJEDNJ-së, Sekretariati do të depozitojë rikujtesë, dhe nëse shteti nuk depoziton plan veprimi, përkatësisht raport brenda 3 muajve pas marrjes së vërejtjes, në atë rast Sekretariati do të depozitojë propozim për të monitoruar ekzekutimin e rastit në përputhje me rregullat e</w:t>
      </w:r>
      <w:r>
        <w:rPr>
          <w:rStyle w:val="rynqvb"/>
          <w:rFonts w:eastAsia="Georgia"/>
          <w:lang w:val="sq-AL"/>
        </w:rPr>
        <w:t xml:space="preserve"> </w:t>
      </w:r>
      <w:r w:rsidRPr="00CE5397">
        <w:rPr>
          <w:lang w:val="sq-AL"/>
        </w:rPr>
        <w:t>„mbikëqyrjes së  përforcuar</w:t>
      </w:r>
      <w:r w:rsidR="003B25C9">
        <w:t>“;</w:t>
      </w:r>
    </w:p>
    <w:p w:rsidR="00901892" w:rsidRPr="00CE5397" w:rsidRDefault="00901892" w:rsidP="00901892">
      <w:pPr>
        <w:pStyle w:val="BodyText1"/>
        <w:numPr>
          <w:ilvl w:val="0"/>
          <w:numId w:val="9"/>
        </w:numPr>
        <w:spacing w:after="0"/>
        <w:jc w:val="both"/>
        <w:rPr>
          <w:rStyle w:val="rynqvb"/>
          <w:rFonts w:eastAsia="Georgia"/>
          <w:i/>
          <w:sz w:val="24"/>
          <w:szCs w:val="24"/>
          <w:lang w:val="sq-AL"/>
        </w:rPr>
      </w:pPr>
      <w:r w:rsidRPr="00CE5397">
        <w:rPr>
          <w:rStyle w:val="rynqvb"/>
          <w:rFonts w:eastAsia="Georgia"/>
          <w:i/>
          <w:sz w:val="24"/>
          <w:szCs w:val="24"/>
          <w:lang w:val="sq-AL"/>
        </w:rPr>
        <w:t>mosmarrëveshje ndërmjet shtetit dhe Sekretariatit në lidhje me përmbajtjen e planit të veprimit, përkatësisht raportit</w:t>
      </w:r>
    </w:p>
    <w:p w:rsidR="00D65C97" w:rsidRDefault="00901892">
      <w:pPr>
        <w:pStyle w:val="Bodytext0"/>
        <w:spacing w:after="0"/>
        <w:ind w:left="140"/>
        <w:jc w:val="both"/>
      </w:pPr>
      <w:r w:rsidRPr="00CE5397">
        <w:rPr>
          <w:rStyle w:val="rynqvb"/>
          <w:rFonts w:eastAsia="Georgia"/>
          <w:lang w:val="sq-AL"/>
        </w:rPr>
        <w:t>Në raste të caktuara, mund të lindë mosmarrëveshje ndërmjet shtetit dhe Sekretariatit në lidhje me qëllimin ose llojin e masave që duhen marrë në procesin e ekzekutimit të një aktgjykimi të caktuar, atëherë shteti dhe/ose Sekretariati mund të marrin iniciativën për të monitoruar ekzekutimin e lëndës në një "procedurë të përforcuar" në mënyrë që Komiteti i Ministrave të mund të ofrojë udhëzime dhe të kontribuojë në ekzekutimin e procesit</w:t>
      </w:r>
      <w:r w:rsidR="003B25C9">
        <w:t>;</w:t>
      </w:r>
    </w:p>
    <w:p w:rsidR="00D65C97" w:rsidRDefault="00901892">
      <w:pPr>
        <w:pStyle w:val="Bodytext0"/>
        <w:numPr>
          <w:ilvl w:val="0"/>
          <w:numId w:val="2"/>
        </w:numPr>
        <w:tabs>
          <w:tab w:val="left" w:pos="860"/>
        </w:tabs>
        <w:ind w:left="860" w:hanging="360"/>
        <w:jc w:val="both"/>
      </w:pPr>
      <w:r w:rsidRPr="00CE5397">
        <w:rPr>
          <w:rStyle w:val="rynqvb"/>
          <w:rFonts w:eastAsia="Georgia"/>
          <w:i/>
          <w:lang w:val="sq-AL"/>
        </w:rPr>
        <w:t>vonesa serioze në zbatimin e masave të parashikuara në planin e veprimit, me iniciativë të Sekretariatit</w:t>
      </w:r>
      <w:r w:rsidR="003B25C9">
        <w:rPr>
          <w:i/>
          <w:iCs/>
        </w:rPr>
        <w:t>.</w:t>
      </w:r>
    </w:p>
    <w:p w:rsidR="00D65C97" w:rsidRDefault="00644E4A">
      <w:pPr>
        <w:pStyle w:val="Heading30"/>
        <w:keepNext/>
        <w:keepLines/>
        <w:spacing w:after="120"/>
      </w:pPr>
      <w:r w:rsidRPr="00CE5397">
        <w:rPr>
          <w:lang w:val="sq-AL"/>
        </w:rPr>
        <w:t>Mbikëqyrje e vazhdueshme mbi ekzekutimin</w:t>
      </w:r>
    </w:p>
    <w:p w:rsidR="00D65C97" w:rsidRDefault="00644E4A">
      <w:pPr>
        <w:pStyle w:val="Bodytext0"/>
        <w:spacing w:after="0"/>
        <w:jc w:val="both"/>
      </w:pPr>
      <w:r w:rsidRPr="00CE5397">
        <w:rPr>
          <w:rStyle w:val="rynqvb"/>
          <w:rFonts w:eastAsia="Georgia"/>
          <w:lang w:val="sq-AL"/>
        </w:rPr>
        <w:t xml:space="preserve">Modalitetet e sistemit të bëra në vitin 2010 mbeten të bazuara në rregullin që të gjitha rastet e reja do të vendosen në rendin e ditës të Komitetit të Ministrave dhe se monitorimi, në parim, </w:t>
      </w:r>
      <w:r w:rsidRPr="00CE5397">
        <w:rPr>
          <w:rStyle w:val="rynqvb"/>
          <w:rFonts w:eastAsia="Georgia"/>
          <w:lang w:val="sq-AL"/>
        </w:rPr>
        <w:lastRenderedPageBreak/>
        <w:t>bëhet në mbledhjet e veçanta të Komitetit të Ministrave për të drejtat e njeriut</w:t>
      </w:r>
      <w:r w:rsidR="003B25C9">
        <w:t xml:space="preserve"> (</w:t>
      </w:r>
      <w:r>
        <w:t>Nitap</w:t>
      </w:r>
      <w:r w:rsidR="003B25C9">
        <w:t xml:space="preserve"> 1&lt;1д111ѕ (НК) тееИпдѕ). </w:t>
      </w:r>
      <w:r w:rsidRPr="00CE5397">
        <w:rPr>
          <w:rStyle w:val="rynqvb"/>
          <w:rFonts w:eastAsia="Georgia"/>
          <w:lang w:val="sq-AL"/>
        </w:rPr>
        <w:t>Megjithatë, ato paraqesin mbikëqyrje më të vazhdueshme të procesit të ekzekutimit, duke qenë se të gjitha pikat konsiderohen të jenë në rendin e ditës të çdo mbledhjeje të Komitetit të Ministrave.</w:t>
      </w:r>
      <w:r>
        <w:rPr>
          <w:rStyle w:val="rynqvb"/>
          <w:rFonts w:eastAsia="Georgia"/>
          <w:lang w:val="sq-AL"/>
        </w:rPr>
        <w:t xml:space="preserve"> </w:t>
      </w:r>
      <w:r w:rsidRPr="00CE5397">
        <w:rPr>
          <w:rStyle w:val="rynqvb"/>
          <w:rFonts w:eastAsia="Georgia"/>
          <w:lang w:val="sq-AL"/>
        </w:rPr>
        <w:t>Kjo duhet t'i mundësojë Komitetit të Ministrave të reagojë më lehtë dhe më shpejt ndaj zhvillimeve të ndryshme në nivel kombëtar dhe duhet të inkurajojë shkëmbimin e informacionit dhe konsultimeve dhe bashkëpunimin më intensiv ndërmjet shtetit dhe Seksionit për Ekzekutimin e Aktgjykimeve dhe Vendimeve të GJEDNJ-së</w:t>
      </w:r>
      <w:r w:rsidR="003B25C9">
        <w:t>.</w:t>
      </w:r>
    </w:p>
    <w:p w:rsidR="00D65C97" w:rsidRDefault="00644E4A">
      <w:pPr>
        <w:pStyle w:val="Bodytext0"/>
        <w:jc w:val="both"/>
      </w:pPr>
      <w:r w:rsidRPr="00CE5397">
        <w:rPr>
          <w:rStyle w:val="rynqvb"/>
          <w:rFonts w:eastAsia="Georgia"/>
          <w:lang w:val="sq-AL"/>
        </w:rPr>
        <w:t>Nisma për të vënë një çështje në një debat publik në një takim të Komitetit të Ministrave mund të vijë nga një shtet anëtar i Këshillit të Evropës ose nga Sekretariati.</w:t>
      </w:r>
      <w:r>
        <w:rPr>
          <w:rStyle w:val="rynqvb"/>
          <w:rFonts w:eastAsia="Georgia"/>
          <w:lang w:val="sq-AL"/>
        </w:rPr>
        <w:t xml:space="preserve"> </w:t>
      </w:r>
      <w:r w:rsidRPr="00CE5397">
        <w:rPr>
          <w:rStyle w:val="rynqvb"/>
          <w:rFonts w:eastAsia="Georgia"/>
          <w:lang w:val="sq-AL"/>
        </w:rPr>
        <w:t>Megjithëse nuk ka kritere të qarta se kur mund të ndërmerret një nismë e tillë, është e qartë se kjo lidhet me progresin ose mungesën e progresit në ekzekutimin e një vendimi të caktuar dhe nevojën për të kërkuar udhëzime ose mbështetje nga Komiteti i Ministrave për procesin e ekzekutimit. Në çdo rast, nisma duhet të përmbajë arsye të qarta dhe të argumentuara</w:t>
      </w:r>
      <w:r w:rsidR="003B25C9">
        <w:t>.</w:t>
      </w:r>
      <w:r w:rsidR="002708D4">
        <w:t xml:space="preserve"> </w:t>
      </w:r>
    </w:p>
    <w:p w:rsidR="00D65C97" w:rsidRDefault="002708D4">
      <w:pPr>
        <w:pStyle w:val="Heading30"/>
        <w:keepNext/>
        <w:keepLines/>
        <w:spacing w:after="120"/>
        <w:jc w:val="both"/>
      </w:pPr>
      <w:bookmarkStart w:id="6" w:name="bookmark11"/>
      <w:r w:rsidRPr="00CE5397">
        <w:rPr>
          <w:lang w:val="sq-AL"/>
        </w:rPr>
        <w:t>Sistemi i mbikëqyrjes mbi bazën e „planeve të veprimit“ dhe „raporteve të veprimit</w:t>
      </w:r>
      <w:r w:rsidR="003B25C9">
        <w:rPr>
          <w:b w:val="0"/>
          <w:bCs w:val="0"/>
        </w:rPr>
        <w:t>“</w:t>
      </w:r>
      <w:bookmarkEnd w:id="6"/>
    </w:p>
    <w:p w:rsidR="00D65C97" w:rsidRDefault="00D8259C">
      <w:pPr>
        <w:pStyle w:val="Bodytext0"/>
        <w:spacing w:line="300" w:lineRule="auto"/>
        <w:jc w:val="both"/>
      </w:pPr>
      <w:r w:rsidRPr="00CE5397">
        <w:rPr>
          <w:rStyle w:val="rynqvb"/>
          <w:rFonts w:eastAsia="Georgia"/>
          <w:lang w:val="sq-AL"/>
        </w:rPr>
        <w:t xml:space="preserve">Mbikëqyrja e ekzekutimit kryhet në bazë të një sistemi të </w:t>
      </w:r>
      <w:r w:rsidRPr="00CE5397">
        <w:rPr>
          <w:rStyle w:val="rynqvb"/>
          <w:rFonts w:eastAsia="Georgia"/>
          <w:i/>
          <w:lang w:val="sq-AL"/>
        </w:rPr>
        <w:t>planeve të veprimit</w:t>
      </w:r>
      <w:r w:rsidRPr="00CE5397">
        <w:rPr>
          <w:rStyle w:val="rynqvb"/>
          <w:rFonts w:eastAsia="Georgia"/>
          <w:lang w:val="sq-AL"/>
        </w:rPr>
        <w:t xml:space="preserve"> dhe </w:t>
      </w:r>
      <w:r w:rsidRPr="00CE5397">
        <w:rPr>
          <w:rStyle w:val="rynqvb"/>
          <w:rFonts w:eastAsia="Georgia"/>
          <w:i/>
          <w:lang w:val="sq-AL"/>
        </w:rPr>
        <w:t>raporteve të veprimit</w:t>
      </w:r>
      <w:r w:rsidRPr="00CE5397">
        <w:rPr>
          <w:rStyle w:val="rynqvb"/>
          <w:rFonts w:eastAsia="Georgia"/>
          <w:lang w:val="sq-AL"/>
        </w:rPr>
        <w:t xml:space="preserve"> të përgatitura nga organet kompetente shtetërore në lidhje me çdo rast specifik ose grup rastesh</w:t>
      </w:r>
      <w:r w:rsidRPr="00CE5397">
        <w:rPr>
          <w:lang w:val="sq-AL"/>
        </w:rPr>
        <w:t xml:space="preserve">. </w:t>
      </w:r>
      <w:r w:rsidRPr="00CE5397">
        <w:rPr>
          <w:rStyle w:val="rynqvb"/>
          <w:rFonts w:eastAsia="Georgia"/>
          <w:lang w:val="sq-AL"/>
        </w:rPr>
        <w:t>Ata duhet të shpjegojnë masat që tashmë janë marrë ose janë planifikuar të ndërmerren (të përgjithshme dhe/ose individuale) për zbatimin e një vendimi të caktuar të GJEDNJ-së, dhe si përgjigje ndaj shkeljeve të KEDNJ-së të konstatuara nga GJEDNJ-ja</w:t>
      </w:r>
      <w:r w:rsidRPr="00CE5397">
        <w:rPr>
          <w:lang w:val="sq-AL"/>
        </w:rPr>
        <w:t xml:space="preserve">. </w:t>
      </w:r>
      <w:r w:rsidRPr="00CE5397">
        <w:rPr>
          <w:rStyle w:val="rynqvb"/>
          <w:rFonts w:eastAsia="Georgia"/>
          <w:lang w:val="sq-AL"/>
        </w:rPr>
        <w:t>Planet e veprimit, ndër të tjera, përmbajnë afatet brenda të cilave masat e planifikuara duhet të ndërmerren nga shteti, gjegjësisht nga autoritetet kompetente kombëtare, në të njëjtën mënyrë që raportet e veprimit përmbajnë tregues se kur janë marrë masat e raportuara nga shteti.</w:t>
      </w:r>
      <w:r>
        <w:rPr>
          <w:rStyle w:val="rynqvb"/>
          <w:rFonts w:eastAsia="Georgia"/>
          <w:lang w:val="sq-AL"/>
        </w:rPr>
        <w:t xml:space="preserve"> </w:t>
      </w:r>
      <w:r w:rsidRPr="00CE5397">
        <w:rPr>
          <w:rStyle w:val="rynqvb"/>
          <w:rFonts w:eastAsia="Georgia"/>
          <w:lang w:val="sq-AL"/>
        </w:rPr>
        <w:t>Bashkëngjitur me raportet mund të depozitohen edhe materiale adekuate si dëshmi për masat e marra. Rregullat e Komitetit të Ministrave që rregullojnë mbikëqyrjen e ekzekutimit të aktgjykimeve dhe vendimeve parashikojnë që planet e veprimit të depozitohen sa më shpejt që të jetë e mundur, dhe më së voni brenda një periudhe 6-mujore nga përfundimi i aktgjykimit, pra vendimi me të cilin lidhet ekzekutimi.</w:t>
      </w:r>
      <w:r>
        <w:rPr>
          <w:rStyle w:val="rynqvb"/>
          <w:rFonts w:eastAsia="Georgia"/>
          <w:lang w:val="sq-AL"/>
        </w:rPr>
        <w:t xml:space="preserve"> </w:t>
      </w:r>
      <w:r w:rsidRPr="00CE5397">
        <w:rPr>
          <w:rStyle w:val="rynqvb"/>
          <w:rFonts w:eastAsia="Georgia"/>
          <w:lang w:val="sq-AL"/>
        </w:rPr>
        <w:t>Raportet e veprimit depozitohen në parim në mënyrë të njëpasnjëshme dhe përdoren për t'i raportuar Komitetit të Ministrave mbi zbatimin e aktiviteteve të parashikuara më parë në planin e veprimit të paraqitur.</w:t>
      </w:r>
      <w:r>
        <w:rPr>
          <w:rStyle w:val="rynqvb"/>
          <w:rFonts w:eastAsia="Georgia"/>
          <w:lang w:val="sq-AL"/>
        </w:rPr>
        <w:t xml:space="preserve"> </w:t>
      </w:r>
      <w:r w:rsidRPr="00CE5397">
        <w:rPr>
          <w:rStyle w:val="rynqvb"/>
          <w:rFonts w:eastAsia="Georgia"/>
          <w:lang w:val="sq-AL"/>
        </w:rPr>
        <w:t>Pas marrjes së planit të veprimit nga shteti, Sekretariati kryen vlerësim paraprak të masave të parashikuara ekzekutive dhe afatit kohor të propozuar për zbatimin e tyre. Në këtë fazë, Sekretariati mund të kërkojë informacion shtesë, shpjegim apo informacione të tjera nga shteti, për të harmonizuar tekstin e planit të veprimit të propozuar.</w:t>
      </w:r>
      <w:r>
        <w:rPr>
          <w:rStyle w:val="rynqvb"/>
          <w:rFonts w:eastAsia="Georgia"/>
          <w:lang w:val="sq-AL"/>
        </w:rPr>
        <w:t xml:space="preserve"> </w:t>
      </w:r>
      <w:r w:rsidRPr="00CE5397">
        <w:rPr>
          <w:rStyle w:val="rynqvb"/>
          <w:rFonts w:eastAsia="Georgia"/>
          <w:lang w:val="sq-AL"/>
        </w:rPr>
        <w:t xml:space="preserve">Planet dhe raportet e veprimit mund të kombinohen në një dokument të vetëm ose mund të jenë dokumente të veçanta që mund ose nuk mund të përditësohen më pas (për shembull, në rastin kur shteti ka vendosur të marrë masa ekzekutive </w:t>
      </w:r>
      <w:r w:rsidRPr="00CE5397">
        <w:rPr>
          <w:rStyle w:val="rynqvb"/>
          <w:rFonts w:eastAsia="Georgia"/>
          <w:lang w:val="sq-AL"/>
        </w:rPr>
        <w:lastRenderedPageBreak/>
        <w:t>shtesë që nuk mund të identifikoheshin në fazën fillestare të zbatimit, ose kur shteti raporton për progresin në zbatimin e masave të parashikuara në planin e veprimit</w:t>
      </w:r>
      <w:r w:rsidR="003B25C9">
        <w:t>).</w:t>
      </w:r>
    </w:p>
    <w:p w:rsidR="00D8259C" w:rsidRPr="00CE5397" w:rsidRDefault="00D8259C" w:rsidP="00D8259C">
      <w:pPr>
        <w:pStyle w:val="Heading30"/>
        <w:keepNext/>
        <w:keepLines/>
        <w:spacing w:after="120"/>
        <w:jc w:val="both"/>
        <w:rPr>
          <w:lang w:val="sq-AL"/>
        </w:rPr>
      </w:pPr>
      <w:r w:rsidRPr="00CE5397">
        <w:rPr>
          <w:lang w:val="sq-AL"/>
        </w:rPr>
        <w:t xml:space="preserve">Transparenca </w:t>
      </w:r>
    </w:p>
    <w:p w:rsidR="00D65C97" w:rsidRDefault="00D8259C">
      <w:pPr>
        <w:pStyle w:val="Bodytext0"/>
        <w:tabs>
          <w:tab w:val="left" w:pos="1738"/>
          <w:tab w:val="left" w:pos="3758"/>
          <w:tab w:val="left" w:pos="4877"/>
          <w:tab w:val="left" w:pos="6859"/>
          <w:tab w:val="left" w:pos="7978"/>
        </w:tabs>
        <w:spacing w:after="0"/>
        <w:jc w:val="both"/>
      </w:pPr>
      <w:r w:rsidRPr="00CE5397">
        <w:rPr>
          <w:rStyle w:val="rynqvb"/>
          <w:rFonts w:eastAsia="Georgia"/>
          <w:lang w:val="sq-AL"/>
        </w:rPr>
        <w:t>Planet e veprimit dhe raportet e përgatitura nga shtetet anëtare janë të disponueshme në faqen e internetit të Komitetit të Ministrave</w:t>
      </w:r>
      <w:r w:rsidR="003B25C9">
        <w:t>:</w:t>
      </w:r>
    </w:p>
    <w:p w:rsidR="00D65C97" w:rsidRDefault="00E5659D">
      <w:pPr>
        <w:pStyle w:val="Bodytext0"/>
        <w:spacing w:after="260"/>
        <w:jc w:val="both"/>
      </w:pPr>
      <w:hyperlink r:id="rId8" w:history="1">
        <w:r w:rsidR="003B25C9">
          <w:rPr>
            <w:color w:val="0000FF"/>
            <w:u w:val="single"/>
          </w:rPr>
          <w:t>1111рѕ:/Лу\\лу.сое.Јп1/епЛуеВ/ехес111Јоп/ѕ1|ВтЈѕѕЈопѕ,</w:t>
        </w:r>
      </w:hyperlink>
      <w:r w:rsidR="00D8259C">
        <w:t xml:space="preserve"> </w:t>
      </w:r>
      <w:r w:rsidR="00D8259C" w:rsidRPr="00CE5397">
        <w:rPr>
          <w:rStyle w:val="rynqvb"/>
          <w:rFonts w:eastAsia="Georgia"/>
          <w:lang w:val="sq-AL"/>
        </w:rPr>
        <w:t>si dhe në bazën e të dhënave NCOS-EHES në faqen e internetit të Këshillit të Evropës</w:t>
      </w:r>
      <w:r w:rsidR="003B25C9">
        <w:t xml:space="preserve">: </w:t>
      </w:r>
      <w:r w:rsidR="003B25C9">
        <w:rPr>
          <w:color w:val="0000FF"/>
          <w:u w:val="single"/>
        </w:rPr>
        <w:t>ИЦрѕУЉидос.ехес.сое.тј,</w:t>
      </w:r>
      <w:r w:rsidR="00D8259C" w:rsidRPr="00D8259C">
        <w:rPr>
          <w:color w:val="0000FF"/>
        </w:rPr>
        <w:t xml:space="preserve"> </w:t>
      </w:r>
      <w:r w:rsidR="00D8259C" w:rsidRPr="00CE5397">
        <w:rPr>
          <w:rStyle w:val="rynqvb"/>
          <w:rFonts w:eastAsia="Georgia"/>
          <w:lang w:val="sq-AL"/>
        </w:rPr>
        <w:t>përveç rasteve kur për shkak të konfidencialitetit të të dhënave ato nuk mund të publikohen</w:t>
      </w:r>
      <w:r w:rsidR="003B25C9">
        <w:t>.</w:t>
      </w:r>
    </w:p>
    <w:p w:rsidR="00D65C97" w:rsidRDefault="00D8259C">
      <w:pPr>
        <w:pStyle w:val="Heading30"/>
        <w:keepNext/>
        <w:keepLines/>
        <w:jc w:val="both"/>
      </w:pPr>
      <w:r w:rsidRPr="00CE5397">
        <w:rPr>
          <w:lang w:val="sq-AL"/>
        </w:rPr>
        <w:t>Karakteristikat e funksionimit praktik të sistemit të mbikëqyrjes mbi ekzekutimin e aktgjykimeve</w:t>
      </w:r>
    </w:p>
    <w:p w:rsidR="00D65C97" w:rsidRDefault="00D8259C">
      <w:pPr>
        <w:pStyle w:val="Bodytext0"/>
        <w:jc w:val="both"/>
      </w:pPr>
      <w:r w:rsidRPr="00CE5397">
        <w:rPr>
          <w:lang w:val="sq-AL"/>
        </w:rPr>
        <w:t>Në kornizat e procedurës „mbikëqyrje standarde“,</w:t>
      </w:r>
      <w:r>
        <w:rPr>
          <w:lang w:val="sq-AL"/>
        </w:rPr>
        <w:t xml:space="preserve"> </w:t>
      </w:r>
      <w:r w:rsidRPr="00CE5397">
        <w:rPr>
          <w:rStyle w:val="rynqvb"/>
          <w:rFonts w:eastAsia="Georgia"/>
          <w:lang w:val="sq-AL"/>
        </w:rPr>
        <w:t>ndërhyrjet e Komitetit të Ministrave janë të kufizuara</w:t>
      </w:r>
      <w:r w:rsidRPr="00CE5397">
        <w:rPr>
          <w:lang w:val="sq-AL"/>
        </w:rPr>
        <w:t xml:space="preserve">. </w:t>
      </w:r>
      <w:r w:rsidRPr="00CE5397">
        <w:rPr>
          <w:rStyle w:val="rynqvb"/>
          <w:rFonts w:eastAsia="Georgia"/>
          <w:lang w:val="sq-AL"/>
        </w:rPr>
        <w:t>Ndërhyrje të tilla përbëjnë konfirmim kur çështja të vendoset për herë të parë në rendin e ditës se ajo do të jetë nën</w:t>
      </w:r>
      <w:r>
        <w:rPr>
          <w:rStyle w:val="rynqvb"/>
          <w:rFonts w:eastAsia="Georgia"/>
          <w:lang w:val="sq-AL"/>
        </w:rPr>
        <w:t xml:space="preserve"> </w:t>
      </w:r>
      <w:r w:rsidRPr="00CE5397">
        <w:rPr>
          <w:lang w:val="sq-AL"/>
        </w:rPr>
        <w:t>„mbikëqyrje standarde“</w:t>
      </w:r>
      <w:r>
        <w:rPr>
          <w:lang w:val="sq-AL"/>
        </w:rPr>
        <w:t xml:space="preserve"> </w:t>
      </w:r>
      <w:r w:rsidRPr="00CE5397">
        <w:rPr>
          <w:rStyle w:val="rynqvb"/>
          <w:rFonts w:eastAsia="Georgia"/>
          <w:lang w:val="sq-AL"/>
        </w:rPr>
        <w:t>dhe më pas, shënohet zyrtarisht depozitimi i planit/raportit të veprimit</w:t>
      </w:r>
      <w:r w:rsidRPr="00CE5397">
        <w:rPr>
          <w:lang w:val="sq-AL"/>
        </w:rPr>
        <w:t xml:space="preserve">. </w:t>
      </w:r>
      <w:r w:rsidRPr="00CE5397">
        <w:rPr>
          <w:rStyle w:val="rynqvb"/>
          <w:rFonts w:eastAsia="Georgia"/>
          <w:lang w:val="sq-AL"/>
        </w:rPr>
        <w:t xml:space="preserve">Zhvillimi i ngjarjeve në nivel kombëtar, megjithatë, monitorohet nga afër nga </w:t>
      </w:r>
      <w:bookmarkStart w:id="7" w:name="_Hlk196339563"/>
      <w:r w:rsidRPr="00CE5397">
        <w:rPr>
          <w:rStyle w:val="rynqvb"/>
          <w:rFonts w:eastAsia="Georgia"/>
          <w:lang w:val="sq-AL"/>
        </w:rPr>
        <w:t>Seksioni</w:t>
      </w:r>
      <w:bookmarkEnd w:id="7"/>
      <w:r>
        <w:rPr>
          <w:rStyle w:val="rynqvb"/>
          <w:rFonts w:eastAsia="Georgia"/>
          <w:lang w:val="sq-AL"/>
        </w:rPr>
        <w:t xml:space="preserve"> </w:t>
      </w:r>
      <w:r w:rsidRPr="00CE5397">
        <w:rPr>
          <w:rStyle w:val="rynqvb"/>
          <w:rFonts w:eastAsia="Georgia"/>
          <w:lang w:val="sq-AL"/>
        </w:rPr>
        <w:t>për Ekzekutimin e Vendimeve.</w:t>
      </w:r>
      <w:r>
        <w:rPr>
          <w:rStyle w:val="rynqvb"/>
          <w:rFonts w:eastAsia="Georgia"/>
          <w:lang w:val="sq-AL"/>
        </w:rPr>
        <w:t xml:space="preserve"> </w:t>
      </w:r>
      <w:r w:rsidRPr="00CE5397">
        <w:rPr>
          <w:rStyle w:val="rynqvb"/>
          <w:rFonts w:eastAsia="Georgia"/>
          <w:lang w:val="sq-AL"/>
        </w:rPr>
        <w:t>Informacioni i marrë dhe vlerësimi i tij i bërë nga Seksioni janë në dispozicion të Komitetit të Ministrave në mënyrë që ai të mund të ndërhyjë në rast nevoje dhe ta transferojë çështjen nën “mbikëqyrjen e përforcuar</w:t>
      </w:r>
      <w:r w:rsidR="003B25C9">
        <w:t>“.</w:t>
      </w:r>
    </w:p>
    <w:p w:rsidR="00D65C97" w:rsidRDefault="00D8259C">
      <w:pPr>
        <w:pStyle w:val="Bodytext0"/>
        <w:jc w:val="both"/>
      </w:pPr>
      <w:r w:rsidRPr="00CE5397">
        <w:rPr>
          <w:rStyle w:val="rynqvb"/>
          <w:rFonts w:eastAsia="Georgia"/>
          <w:lang w:val="sq-AL"/>
        </w:rPr>
        <w:t>“Mbikëqyrja e përforcuar” paraqet lehtësimin e procesit të ekzekutimit të vendimit, i cili monitorohet nga afër nga Komiteti i Ministrave, nëpërmjet miratimit të akteve (vendimeve dhe/ose rezolutave të përkohshme) që shprehin kënaqësinë, inkurajimin ose shqetësimin dhe/ose dhënien e sugjerimeve apo rekomandimeve në lidhje me masa të caktuara ekzekutive.</w:t>
      </w:r>
      <w:r>
        <w:rPr>
          <w:rStyle w:val="rynqvb"/>
          <w:rFonts w:eastAsia="Georgia"/>
          <w:lang w:val="sq-AL"/>
        </w:rPr>
        <w:t xml:space="preserve"> </w:t>
      </w:r>
      <w:r w:rsidRPr="00CE5397">
        <w:rPr>
          <w:rStyle w:val="rynqvb"/>
          <w:rFonts w:eastAsia="Georgia"/>
          <w:lang w:val="sq-AL"/>
        </w:rPr>
        <w:t>Ndërhyrjet, në varësi të rrethanave, mund të marrin një formë tjetër, si deklaratë e kryetarit të Komitetit të Ministrave ose të ngjashme, të cilat u komunikohen shteteve të interesuara</w:t>
      </w:r>
      <w:r w:rsidR="003B25C9">
        <w:t>.</w:t>
      </w:r>
    </w:p>
    <w:p w:rsidR="00D65C97" w:rsidRDefault="00D8259C">
      <w:pPr>
        <w:pStyle w:val="Bodytext0"/>
        <w:jc w:val="both"/>
      </w:pPr>
      <w:r w:rsidRPr="00CE5397">
        <w:rPr>
          <w:rStyle w:val="rynqvb"/>
          <w:rFonts w:eastAsia="Georgia"/>
          <w:lang w:val="sq-AL"/>
        </w:rPr>
        <w:t>Me kërkesë të Komitetit ose të Shtetit, Seksioni mund të ndihmojë procesin e zbatimit me aktivitete të ndryshme bashkëpunimi (ekspertizë ligjore, takime dypalëshe, tryeza të rrumbullakëta, seanca pune me autoritetet kompetente shtetërore, etj.). Aktivitete të tilla janë të një rëndësie të veçantë në kuadrin e ekzekutimit të çështjeve, ekzekutimi i të cilave është nën "mbikëqyrjen e përforcuar" të Komitetit të Ministrave</w:t>
      </w:r>
      <w:r w:rsidR="003B25C9">
        <w:t>.</w:t>
      </w:r>
    </w:p>
    <w:p w:rsidR="00D65C97" w:rsidRDefault="00D8259C">
      <w:pPr>
        <w:pStyle w:val="Heading30"/>
        <w:keepNext/>
        <w:keepLines/>
        <w:jc w:val="both"/>
      </w:pPr>
      <w:r w:rsidRPr="00CE5397">
        <w:rPr>
          <w:lang w:val="sq-AL"/>
        </w:rPr>
        <w:lastRenderedPageBreak/>
        <w:t>Procedura e mbikëqyrjes mbi pagesën e kompensimit të drejtë</w:t>
      </w:r>
    </w:p>
    <w:p w:rsidR="00D65C97" w:rsidRDefault="00D8259C">
      <w:pPr>
        <w:pStyle w:val="Bodytext0"/>
        <w:jc w:val="both"/>
      </w:pPr>
      <w:r w:rsidRPr="00CE5397">
        <w:rPr>
          <w:rStyle w:val="rynqvb"/>
          <w:rFonts w:eastAsia="Georgia"/>
          <w:lang w:val="sq-AL"/>
        </w:rPr>
        <w:t xml:space="preserve">Mbikëqyrja e pagesës së kompensimit të drejtë është thjeshtuar në përputhje me metodat e punës të vitit 2011 dhe ka vënë theksin më të madh në përgjegjësinë e aplikantëve për të reaguar në rast të problemeve me pagesën. Roli i Seksionit të </w:t>
      </w:r>
      <w:r>
        <w:rPr>
          <w:rStyle w:val="rynqvb"/>
          <w:rFonts w:eastAsia="Georgia"/>
          <w:lang w:val="sq-AL"/>
        </w:rPr>
        <w:t>e</w:t>
      </w:r>
      <w:r w:rsidRPr="00CE5397">
        <w:rPr>
          <w:rStyle w:val="rynqvb"/>
          <w:rFonts w:eastAsia="Georgia"/>
          <w:lang w:val="sq-AL"/>
        </w:rPr>
        <w:t>kzekutimit në parim është i kufizuar në shënimin e pagesës së borxhit kryesor (shumës së dhënë të kompensimit të drejtë) dhe kamatëvonesës, në rast të vonesës së pagesës së kompensimit monetar, dhe publikimit të këtij informacioni</w:t>
      </w:r>
      <w:r>
        <w:rPr>
          <w:lang w:val="sq-AL"/>
        </w:rPr>
        <w:t xml:space="preserve"> në f</w:t>
      </w:r>
      <w:r w:rsidRPr="00CE5397">
        <w:rPr>
          <w:lang w:val="sq-AL"/>
        </w:rPr>
        <w:t>aqen e internetit</w:t>
      </w:r>
      <w:hyperlink r:id="rId9" w:history="1">
        <w:r w:rsidRPr="00CE5397">
          <w:rPr>
            <w:lang w:val="sq-AL"/>
          </w:rPr>
          <w:t xml:space="preserve"> 111рѕ:/Д\л\лу.сое.1п1/еп/\уе1Дехеси11оп/рау1теп1-1п1опта11о1г </w:t>
        </w:r>
      </w:hyperlink>
      <w:r w:rsidRPr="00CE5397">
        <w:rPr>
          <w:rStyle w:val="rynqvb"/>
          <w:rFonts w:eastAsia="Georgia"/>
          <w:lang w:val="sq-AL"/>
        </w:rPr>
        <w:t xml:space="preserve">Pas marrjes dhe publikimit të informacionit në lidhje me pagesën, aplikantët kanë një afat prej dy muajsh për të kontaktuar </w:t>
      </w:r>
      <w:bookmarkStart w:id="8" w:name="_Hlk196339852"/>
      <w:r w:rsidRPr="00CE5397">
        <w:rPr>
          <w:rStyle w:val="rynqvb"/>
          <w:rFonts w:eastAsia="Georgia"/>
          <w:lang w:val="sq-AL"/>
        </w:rPr>
        <w:t>Seksionin</w:t>
      </w:r>
      <w:bookmarkEnd w:id="8"/>
      <w:r>
        <w:rPr>
          <w:rStyle w:val="rynqvb"/>
          <w:rFonts w:eastAsia="Georgia"/>
          <w:lang w:val="sq-AL"/>
        </w:rPr>
        <w:t xml:space="preserve"> </w:t>
      </w:r>
      <w:r w:rsidRPr="00CE5397">
        <w:rPr>
          <w:rStyle w:val="rynqvb"/>
          <w:rFonts w:eastAsia="Georgia"/>
          <w:lang w:val="sq-AL"/>
        </w:rPr>
        <w:t>për çdo problem në lidhje me pagesën.</w:t>
      </w:r>
      <w:r>
        <w:rPr>
          <w:rStyle w:val="rynqvb"/>
          <w:rFonts w:eastAsia="Georgia"/>
          <w:lang w:val="sq-AL"/>
        </w:rPr>
        <w:t xml:space="preserve"> </w:t>
      </w:r>
      <w:r w:rsidRPr="00CE5397">
        <w:rPr>
          <w:rStyle w:val="rynqvb"/>
          <w:rFonts w:eastAsia="Georgia"/>
          <w:lang w:val="sq-AL"/>
        </w:rPr>
        <w:t>Aplikantët informohen me shkrim nga GJEDNJ-ja për këtë mundësi reagimi kur të jepet aktgjykimi. Në rast të ndonjë reagimi nga aplikantët, detajet në lidhje me pagesën do të hetohen më tej nga Seksioni, dhe nëse është e nevojshme nga Komiteti.</w:t>
      </w:r>
      <w:r>
        <w:rPr>
          <w:rStyle w:val="rynqvb"/>
          <w:rFonts w:eastAsia="Georgia"/>
          <w:lang w:val="sq-AL"/>
        </w:rPr>
        <w:t xml:space="preserve"> </w:t>
      </w:r>
      <w:r w:rsidRPr="00CE5397">
        <w:rPr>
          <w:rStyle w:val="rynqvb"/>
          <w:rFonts w:eastAsia="Georgia"/>
          <w:lang w:val="sq-AL"/>
        </w:rPr>
        <w:t>Në mungesë të ndonjë reagimi nga aplikanti brenda periudhës dymujore, çështja e pagesës së shpërblimit të drejtë konsiderohet e mbyllur</w:t>
      </w:r>
      <w:r w:rsidR="003B25C9">
        <w:t>.</w:t>
      </w:r>
    </w:p>
    <w:p w:rsidR="00D8259C" w:rsidRPr="00CE5397" w:rsidRDefault="00D8259C" w:rsidP="00D8259C">
      <w:pPr>
        <w:pStyle w:val="Heading30"/>
        <w:keepNext/>
        <w:keepLines/>
        <w:jc w:val="both"/>
        <w:rPr>
          <w:lang w:val="sq-AL"/>
        </w:rPr>
      </w:pPr>
      <w:r w:rsidRPr="00CE5397">
        <w:rPr>
          <w:lang w:val="sq-AL"/>
        </w:rPr>
        <w:t>Përfundimi i mbikëqyrjes mbi ekzekutimin e lëndës konkrete –</w:t>
      </w:r>
      <w:r>
        <w:rPr>
          <w:lang w:val="sq-AL"/>
        </w:rPr>
        <w:t xml:space="preserve"> </w:t>
      </w:r>
      <w:r w:rsidRPr="00CE5397">
        <w:rPr>
          <w:lang w:val="sq-AL"/>
        </w:rPr>
        <w:t>të gjitha masat janë marrë –</w:t>
      </w:r>
      <w:r>
        <w:rPr>
          <w:lang w:val="sq-AL"/>
        </w:rPr>
        <w:t xml:space="preserve"> </w:t>
      </w:r>
      <w:r w:rsidRPr="00CE5397">
        <w:rPr>
          <w:lang w:val="sq-AL"/>
        </w:rPr>
        <w:t xml:space="preserve">rezoluta përfundimtare </w:t>
      </w:r>
    </w:p>
    <w:p w:rsidR="00D65C97" w:rsidRDefault="00903BA3">
      <w:pPr>
        <w:pStyle w:val="Bodytext0"/>
        <w:jc w:val="both"/>
      </w:pPr>
      <w:r w:rsidRPr="00CE5397">
        <w:rPr>
          <w:rStyle w:val="rynqvb"/>
          <w:rFonts w:eastAsia="Georgia"/>
          <w:lang w:val="sq-AL"/>
        </w:rPr>
        <w:t>Kur Komiteti i Ministrave merr raportin përfundimtar të veprimit ku thuhet se shteti konsideron se janë marrë të gjitha masat për ekzekutimin e aktgjykimit dhe shpjegim të përshtatshëm të arsyeve përse konsideron se nuk nevojiten masa të mëtejshme, fillon të rrjedhë një periudhë prej 6 muajsh gjatë së cilës shtetet e tjera anëtare ose Sekretariati mund të paraqesin komente specifike për çështjen e mbylljes së çështjes.</w:t>
      </w:r>
      <w:r>
        <w:rPr>
          <w:rStyle w:val="rynqvb"/>
          <w:rFonts w:eastAsia="Georgia"/>
          <w:lang w:val="sq-AL"/>
        </w:rPr>
        <w:t xml:space="preserve"> </w:t>
      </w:r>
      <w:r w:rsidRPr="00CE5397">
        <w:rPr>
          <w:rStyle w:val="rynqvb"/>
          <w:rFonts w:eastAsia="Georgia"/>
          <w:lang w:val="sq-AL"/>
        </w:rPr>
        <w:t>Çështja e mbylljes së lëndës është shqyrtuar përmes prizmit të raportit të veprimit dhe të çdo komenti të paraqitur.</w:t>
      </w:r>
      <w:r>
        <w:rPr>
          <w:rStyle w:val="rynqvb"/>
          <w:rFonts w:eastAsia="Georgia"/>
          <w:lang w:val="sq-AL"/>
        </w:rPr>
        <w:t xml:space="preserve"> </w:t>
      </w:r>
      <w:r w:rsidRPr="00CE5397">
        <w:rPr>
          <w:rStyle w:val="rynqvb"/>
          <w:rFonts w:eastAsia="Georgia"/>
          <w:lang w:val="sq-AL"/>
        </w:rPr>
        <w:t>Kur shtetet anëtare dhe Sekretariati bien dakord që masat e parashikuara dhe të marra nga shteti janë të mjaftueshme, Sekretariati do t'i propozojë Komitetit të Ministrave miratimin e rezolutës përfundimtare. Procesi i mbikëqyrjes së ekzekutimit konsiderohet i përfunduar dhe aktgjykimi i ekzekutuar, me miratimin e rezolutës përfundimtare nga Komiteti i Ministrave</w:t>
      </w:r>
      <w:r w:rsidR="003B25C9">
        <w:t>.</w:t>
      </w:r>
    </w:p>
    <w:p w:rsidR="00903BA3" w:rsidRPr="00CE5397" w:rsidRDefault="00903BA3" w:rsidP="00903BA3">
      <w:pPr>
        <w:pStyle w:val="Heading30"/>
        <w:keepNext/>
        <w:keepLines/>
        <w:jc w:val="both"/>
        <w:rPr>
          <w:lang w:val="sq-AL"/>
        </w:rPr>
      </w:pPr>
      <w:r>
        <w:rPr>
          <w:lang w:val="sq-AL"/>
        </w:rPr>
        <w:t>Rritja e n</w:t>
      </w:r>
      <w:r w:rsidRPr="00CE5397">
        <w:rPr>
          <w:lang w:val="sq-AL"/>
        </w:rPr>
        <w:t>dërveprim</w:t>
      </w:r>
      <w:r>
        <w:rPr>
          <w:lang w:val="sq-AL"/>
        </w:rPr>
        <w:t>it</w:t>
      </w:r>
      <w:r w:rsidRPr="00CE5397">
        <w:rPr>
          <w:lang w:val="sq-AL"/>
        </w:rPr>
        <w:t xml:space="preserve"> ndërmjet GJEDNJ-së dhe Komitetit të Ministrave </w:t>
      </w:r>
    </w:p>
    <w:p w:rsidR="00D65C97" w:rsidRDefault="00903BA3">
      <w:pPr>
        <w:pStyle w:val="Bodytext0"/>
        <w:jc w:val="both"/>
      </w:pPr>
      <w:r w:rsidRPr="00CE5397">
        <w:rPr>
          <w:rStyle w:val="rynqvb"/>
          <w:rFonts w:eastAsia="Georgia"/>
          <w:lang w:val="sq-AL"/>
        </w:rPr>
        <w:t xml:space="preserve">Ndërveprimi ndërmjet GJEDNJ-së dhe Komitetit të Ministrave, nëpërmjet zbatimit të Nenit 46 të KEDNJ-së nga GJEDNJ-ja, është vazhdimisht në zhvillim. Vitet e fundit, GJEDNJ-ja ka </w:t>
      </w:r>
      <w:r w:rsidRPr="00CE5397">
        <w:rPr>
          <w:rStyle w:val="rynqvb"/>
          <w:rFonts w:eastAsia="Georgia"/>
          <w:lang w:val="sq-AL"/>
        </w:rPr>
        <w:lastRenderedPageBreak/>
        <w:t xml:space="preserve">ndihmuar gjithnjë e më </w:t>
      </w:r>
      <w:r>
        <w:rPr>
          <w:rStyle w:val="rynqvb"/>
          <w:rFonts w:eastAsia="Georgia"/>
          <w:lang w:val="sq-AL"/>
        </w:rPr>
        <w:t>shpesh</w:t>
      </w:r>
      <w:r w:rsidRPr="00CE5397">
        <w:rPr>
          <w:rStyle w:val="rynqvb"/>
          <w:rFonts w:eastAsia="Georgia"/>
          <w:lang w:val="sq-AL"/>
        </w:rPr>
        <w:t xml:space="preserve"> në procesin e ekzekutimit të vendimeve në një sërë mënyrash, p.sh. duke dhënë udhëzime në aktgjykimet e tij në lidhje me masat e caktuara ekzekutive që shteti duhet të marrë (në të ashtuquajturat aktgjykime kuazi-pilot ose "gjykime të bazuara në Nenin 46 të KEDNJ-së</w:t>
      </w:r>
      <w:r>
        <w:t xml:space="preserve"> </w:t>
      </w:r>
      <w:r w:rsidR="003B25C9">
        <w:t>“).</w:t>
      </w:r>
    </w:p>
    <w:p w:rsidR="00D65C97" w:rsidRDefault="009E638E">
      <w:pPr>
        <w:pStyle w:val="Bodytext0"/>
        <w:jc w:val="both"/>
      </w:pPr>
      <w:r w:rsidRPr="00CE5397">
        <w:rPr>
          <w:rStyle w:val="rynqvb"/>
          <w:rFonts w:eastAsia="Georgia"/>
          <w:lang w:val="sq-AL"/>
        </w:rPr>
        <w:t>Rekomandime të tilla në praktikën aktuale të GJEDNJ-së mund të gjenden në lidhje me masat individuale në një numër gjithnjë e më të madh çështjesh, dhe nuk përjashtohet që GJEDNJ-ja të mund të caktojë edhe një afat për marrjen e masave të tilla (për shembull, në disa raste të heqjes së paligjshme të lirisë, të ngritura në çështje kundër shteteve të tjera anëtare të Këshillit të Evropës)</w:t>
      </w:r>
      <w:r w:rsidRPr="00CE5397">
        <w:rPr>
          <w:lang w:val="sq-AL"/>
        </w:rPr>
        <w:t>, GJEDNJ-ja</w:t>
      </w:r>
      <w:r>
        <w:rPr>
          <w:lang w:val="sq-AL"/>
        </w:rPr>
        <w:t xml:space="preserve"> </w:t>
      </w:r>
      <w:r w:rsidRPr="00CE5397">
        <w:rPr>
          <w:lang w:val="sq-AL"/>
        </w:rPr>
        <w:t xml:space="preserve">ka konstatuar se </w:t>
      </w:r>
      <w:r w:rsidRPr="00CE5397">
        <w:rPr>
          <w:i/>
          <w:iCs/>
          <w:lang w:val="sq-AL"/>
        </w:rPr>
        <w:t xml:space="preserve">геѕШиИо ш тједгит </w:t>
      </w:r>
      <w:r w:rsidRPr="00CE5397">
        <w:rPr>
          <w:lang w:val="sq-AL"/>
        </w:rPr>
        <w:t>me domosdoshmëri kërkon lëshimin në liri të aplikantit dhe ka urdhëruar lëshimin urgjent të tij</w:t>
      </w:r>
      <w:r w:rsidR="003B25C9">
        <w:t>).</w:t>
      </w:r>
    </w:p>
    <w:p w:rsidR="00D65C97" w:rsidRDefault="009E638E">
      <w:pPr>
        <w:pStyle w:val="Bodytext0"/>
        <w:jc w:val="both"/>
      </w:pPr>
      <w:r w:rsidRPr="00CE5397">
        <w:rPr>
          <w:rStyle w:val="rynqvb"/>
          <w:rFonts w:eastAsia="Georgia"/>
          <w:lang w:val="sq-AL"/>
        </w:rPr>
        <w:t>Në kuadër të masave të përgjithshme, në kuadër të procedurës për marrjen e një aktgjykimi “pilot”, GJEDNJ-ja analizon më hollësisht shkaqet e problemeve strukturore që ka konstatuar, për të dhënë rekomandime apo indikacione më të sakta në lidhje me masat e përgjithshme ose mund të kërkojë marrjen e masave specifike të përgjithshme brenda afateve të përcaktuara saktësisht në vetë aktgjykimin.</w:t>
      </w:r>
      <w:r>
        <w:rPr>
          <w:rStyle w:val="rynqvb"/>
          <w:rFonts w:eastAsia="Georgia"/>
          <w:lang w:val="sq-AL"/>
        </w:rPr>
        <w:t xml:space="preserve"> </w:t>
      </w:r>
      <w:r w:rsidRPr="00CE5397">
        <w:rPr>
          <w:rStyle w:val="rynqvb"/>
          <w:rFonts w:eastAsia="Georgia"/>
          <w:lang w:val="sq-AL"/>
        </w:rPr>
        <w:t>Në këtë kontekst, GJEDNJ-ja përdor në parim aktgjykimet “pilot” në rastet e problemeve strukturore që gjenerojnë ose rrezikojnë të gjenerojnë raste “klonimi</w:t>
      </w:r>
      <w:r w:rsidR="003B25C9">
        <w:t>.</w:t>
      </w:r>
    </w:p>
    <w:p w:rsidR="00D65C97" w:rsidRDefault="009E638E">
      <w:pPr>
        <w:pStyle w:val="Heading30"/>
        <w:keepNext/>
        <w:keepLines/>
        <w:numPr>
          <w:ilvl w:val="0"/>
          <w:numId w:val="1"/>
        </w:numPr>
        <w:tabs>
          <w:tab w:val="left" w:pos="730"/>
        </w:tabs>
        <w:ind w:left="740" w:hanging="360"/>
        <w:jc w:val="both"/>
      </w:pPr>
      <w:bookmarkStart w:id="9" w:name="bookmark23"/>
      <w:r w:rsidRPr="00CE5397">
        <w:rPr>
          <w:lang w:val="sq-AL"/>
        </w:rPr>
        <w:t>Sistemi i ekzekutimit të ak</w:t>
      </w:r>
      <w:r w:rsidR="005C5C38">
        <w:rPr>
          <w:lang w:val="sq-AL"/>
        </w:rPr>
        <w:t>tgjykimeve dhe vendimeve të GJED</w:t>
      </w:r>
      <w:r w:rsidRPr="00CE5397">
        <w:rPr>
          <w:lang w:val="sq-AL"/>
        </w:rPr>
        <w:t>NJ-së në nivel kombëtar</w:t>
      </w:r>
      <w:r>
        <w:t xml:space="preserve"> </w:t>
      </w:r>
      <w:bookmarkEnd w:id="9"/>
    </w:p>
    <w:p w:rsidR="00D65C97" w:rsidRDefault="00572F31">
      <w:pPr>
        <w:pStyle w:val="Bodytext0"/>
        <w:jc w:val="both"/>
      </w:pPr>
      <w:r w:rsidRPr="00CE5397">
        <w:rPr>
          <w:rStyle w:val="rynqvb"/>
          <w:rFonts w:eastAsia="Georgia"/>
          <w:lang w:val="sq-AL"/>
        </w:rPr>
        <w:t xml:space="preserve">Organi kompetent për monitorimin dhe ekzekutimin e vendimeve të GJEDNJ-së në rastet kundër Republikës së Maqedonisë së Veriut është Komisioni Ndërdikasterial </w:t>
      </w:r>
      <w:r>
        <w:rPr>
          <w:rStyle w:val="rynqvb"/>
          <w:rFonts w:eastAsia="Georgia"/>
          <w:lang w:val="sq-AL"/>
        </w:rPr>
        <w:t>për Ekzekutimin e Vendimeve të GJ</w:t>
      </w:r>
      <w:r w:rsidRPr="00CE5397">
        <w:rPr>
          <w:rStyle w:val="rynqvb"/>
          <w:rFonts w:eastAsia="Georgia"/>
          <w:lang w:val="sq-AL"/>
        </w:rPr>
        <w:t>EDNJ-së (në tekstin e mëtejshëm: Komisioni ndërdikasterial), i kryesuar nga Ministri i Drejtësisë, në përbërje të të cilit janë edhe zyrtarët që drejtojnë Ministrinë e Punëve të Brendshme</w:t>
      </w:r>
      <w:r w:rsidRPr="00CE5397">
        <w:rPr>
          <w:lang w:val="sq-AL"/>
        </w:rPr>
        <w:t xml:space="preserve">, </w:t>
      </w:r>
      <w:r w:rsidRPr="00CE5397">
        <w:rPr>
          <w:rStyle w:val="rynqvb"/>
          <w:rFonts w:eastAsia="Georgia"/>
          <w:lang w:val="sq-AL"/>
        </w:rPr>
        <w:t>Ministrinë e Punëve të Jashtme, Ministrinë e Financave, Kryetari i Këshillit Gjyqësor të Republikës së Maqedonisë së Veriut, Kryetari i Gjykatës Supreme të Republikës së Maqedonisë së Veriut, Kryetari i Gjykatës së Lartë Administrative, Kryetarët e katër gjykatave të apelit, Kryetari i Gjykatës Kushtetuese, Kryetari i Këshillit të Prokurorëve Publikë, Prokurori Publik i Republikës së Maqedonisë së Veriut dhe Agjenti i Qeverisë</w:t>
      </w:r>
      <w:r w:rsidR="003B25C9">
        <w:t>.</w:t>
      </w:r>
    </w:p>
    <w:p w:rsidR="00D65C97" w:rsidRDefault="00572F31">
      <w:pPr>
        <w:pStyle w:val="Bodytext0"/>
        <w:jc w:val="both"/>
      </w:pPr>
      <w:r w:rsidRPr="00CE5397">
        <w:rPr>
          <w:rStyle w:val="rynqvb"/>
          <w:rFonts w:eastAsia="Georgia"/>
          <w:lang w:val="sq-AL"/>
        </w:rPr>
        <w:t xml:space="preserve">Edhe pse sipas legjislacionit aktual, Byroja për Përfaqësimin e Republikës së Maqedonisë së </w:t>
      </w:r>
      <w:r w:rsidRPr="00CE5397">
        <w:rPr>
          <w:rStyle w:val="rynqvb"/>
          <w:rFonts w:eastAsia="Georgia"/>
          <w:lang w:val="sq-AL"/>
        </w:rPr>
        <w:lastRenderedPageBreak/>
        <w:t xml:space="preserve">Veriut para GJEDNJ-së përfaqëson mbështetje teknike dhe administrative për Komisionin </w:t>
      </w:r>
      <w:bookmarkStart w:id="10" w:name="_Hlk196340472"/>
      <w:r w:rsidRPr="00CE5397">
        <w:rPr>
          <w:rStyle w:val="rynqvb"/>
          <w:rFonts w:eastAsia="Georgia"/>
          <w:lang w:val="sq-AL"/>
        </w:rPr>
        <w:t>Ndërdikasterial</w:t>
      </w:r>
      <w:bookmarkEnd w:id="10"/>
      <w:r w:rsidRPr="00CE5397">
        <w:rPr>
          <w:rStyle w:val="rynqvb"/>
          <w:rFonts w:eastAsia="Georgia"/>
          <w:lang w:val="sq-AL"/>
        </w:rPr>
        <w:t>, ​​në thelb Byroja i ofron edhe mbështetje profesionale Komisionit Ndërdikasterial</w:t>
      </w:r>
      <w:r w:rsidR="003B25C9">
        <w:t>.</w:t>
      </w:r>
    </w:p>
    <w:p w:rsidR="00D65C97" w:rsidRDefault="00572F31">
      <w:pPr>
        <w:pStyle w:val="Bodytext0"/>
        <w:jc w:val="both"/>
      </w:pPr>
      <w:r w:rsidRPr="00CE5397">
        <w:rPr>
          <w:rStyle w:val="rynqvb"/>
          <w:rFonts w:eastAsia="Georgia"/>
          <w:lang w:val="sq-AL"/>
        </w:rPr>
        <w:t>Komunikimi me Komitetin e Ministrave, i cili në nivel të Këshillit të Evropës është përgjegjës për mbikëqyrjen e ekzekutimit të</w:t>
      </w:r>
      <w:r>
        <w:rPr>
          <w:rStyle w:val="rynqvb"/>
          <w:rFonts w:eastAsia="Georgia"/>
          <w:lang w:val="sq-AL"/>
        </w:rPr>
        <w:t xml:space="preserve"> aktgjykimeve dhe vendimeve të GJ</w:t>
      </w:r>
      <w:r w:rsidRPr="00CE5397">
        <w:rPr>
          <w:rStyle w:val="rynqvb"/>
          <w:rFonts w:eastAsia="Georgia"/>
          <w:lang w:val="sq-AL"/>
        </w:rPr>
        <w:t>EDNJ-së, mbeti i rezervuar për Byronë për Përfaqësimin e Republikë</w:t>
      </w:r>
      <w:r>
        <w:rPr>
          <w:rStyle w:val="rynqvb"/>
          <w:rFonts w:eastAsia="Georgia"/>
          <w:lang w:val="sq-AL"/>
        </w:rPr>
        <w:t>s së Maqedonisë së Veriut para GJ</w:t>
      </w:r>
      <w:r w:rsidRPr="00CE5397">
        <w:rPr>
          <w:rStyle w:val="rynqvb"/>
          <w:rFonts w:eastAsia="Georgia"/>
          <w:lang w:val="sq-AL"/>
        </w:rPr>
        <w:t>EDNJ-së, kompetenca e së cilës, ndër të tjera, përfshin jo vetëm organizimin, përgatitjen dhe mbështetjen e punës së Komisionit Ndërdikasterial, ​​por edhe përgatitjen e raporteve të veprimit të Komitetit të Ministrave</w:t>
      </w:r>
      <w:r w:rsidRPr="00CE5397">
        <w:rPr>
          <w:lang w:val="sq-AL"/>
        </w:rPr>
        <w:t xml:space="preserve">. </w:t>
      </w:r>
      <w:r w:rsidRPr="00CE5397">
        <w:rPr>
          <w:rStyle w:val="rynqvb"/>
          <w:rFonts w:eastAsia="Georgia"/>
          <w:lang w:val="sq-AL"/>
        </w:rPr>
        <w:t>Për ndryshim nga, pjesëmarrja në punën e takimeve për të drejtat e njeriut të Komitetit të Ministrave</w:t>
      </w:r>
      <w:r>
        <w:rPr>
          <w:rStyle w:val="rynqvb"/>
          <w:rFonts w:eastAsia="Georgia"/>
          <w:lang w:val="sq-AL"/>
        </w:rPr>
        <w:t xml:space="preserve"> </w:t>
      </w:r>
      <w:r w:rsidRPr="00CE5397">
        <w:rPr>
          <w:lang w:val="sq-AL"/>
        </w:rPr>
        <w:t>(</w:t>
      </w:r>
      <w:r w:rsidRPr="00CE5397">
        <w:rPr>
          <w:i/>
          <w:iCs/>
          <w:lang w:val="sq-AL"/>
        </w:rPr>
        <w:t xml:space="preserve">1.)И тееИпдѕ </w:t>
      </w:r>
      <w:r w:rsidRPr="00CE5397">
        <w:rPr>
          <w:lang w:val="sq-AL"/>
        </w:rPr>
        <w:t xml:space="preserve">(takime), </w:t>
      </w:r>
      <w:r w:rsidRPr="00CE5397">
        <w:rPr>
          <w:rStyle w:val="rynqvb"/>
          <w:rFonts w:eastAsia="Georgia"/>
          <w:lang w:val="sq-AL"/>
        </w:rPr>
        <w:t xml:space="preserve">primare për arsye financiare dhe të personelit, </w:t>
      </w:r>
      <w:r>
        <w:rPr>
          <w:rStyle w:val="rynqvb"/>
          <w:rFonts w:eastAsia="Georgia"/>
          <w:lang w:val="sq-AL"/>
        </w:rPr>
        <w:t>akoma</w:t>
      </w:r>
      <w:r w:rsidRPr="00CE5397">
        <w:rPr>
          <w:rStyle w:val="rynqvb"/>
          <w:rFonts w:eastAsia="Georgia"/>
          <w:lang w:val="sq-AL"/>
        </w:rPr>
        <w:t>, në parim, mbetet e rezervuar për Misionin e Përhershëm të Republikës së Maqedonisë së Veriut në Këshillin e Evropës</w:t>
      </w:r>
      <w:r w:rsidR="003B25C9">
        <w:t>.</w:t>
      </w:r>
    </w:p>
    <w:p w:rsidR="00D65C97" w:rsidRDefault="00572F31">
      <w:pPr>
        <w:pStyle w:val="Bodytext0"/>
        <w:jc w:val="both"/>
      </w:pPr>
      <w:r w:rsidRPr="00CE5397">
        <w:rPr>
          <w:rStyle w:val="rynqvb"/>
          <w:rFonts w:eastAsia="Georgia"/>
          <w:lang w:val="sq-AL"/>
        </w:rPr>
        <w:t>Konkluzionet e Komisionit Ndërdikasterial paraqesin rekomandime për ndërmarrjen e aktiviteteve të caktuara me qëllim të zbatimit të një aktgjykimi konkret</w:t>
      </w:r>
      <w:r>
        <w:rPr>
          <w:rStyle w:val="rynqvb"/>
          <w:rFonts w:eastAsia="Georgia"/>
          <w:lang w:val="sq-AL"/>
        </w:rPr>
        <w:t xml:space="preserve"> të GJ</w:t>
      </w:r>
      <w:r w:rsidRPr="00CE5397">
        <w:rPr>
          <w:rStyle w:val="rynqvb"/>
          <w:rFonts w:eastAsia="Georgia"/>
          <w:lang w:val="sq-AL"/>
        </w:rPr>
        <w:t>EDNJ-së të lëshuar në një lëndë kundër Republikës së Maqedonisë së Veriut, duke identifikuar autoritetet kompetente dhe afatet brenda të cilave rekomandimet duhet të zbatohen, ose kërkojnë të dhëna, informacione dhe njoftime të caktuara në lidhje me zbatimin e aktgjykimit</w:t>
      </w:r>
      <w:r>
        <w:rPr>
          <w:rStyle w:val="rynqvb"/>
          <w:rFonts w:eastAsia="Georgia"/>
          <w:lang w:val="sq-AL"/>
        </w:rPr>
        <w:t xml:space="preserve"> </w:t>
      </w:r>
      <w:r w:rsidRPr="00CE5397">
        <w:rPr>
          <w:rStyle w:val="rynqvb"/>
          <w:rFonts w:eastAsia="Georgia"/>
          <w:lang w:val="sq-AL"/>
        </w:rPr>
        <w:t>konkret, ose që do të kërkonin të dhëna të tjera të përshtatshme të cilat Komisionit do t’i mundësonin të parashikojë masa adekuate për ekzekutim</w:t>
      </w:r>
      <w:r w:rsidR="003B25C9">
        <w:t>.</w:t>
      </w:r>
    </w:p>
    <w:p w:rsidR="00D65C97" w:rsidRDefault="00572F31">
      <w:pPr>
        <w:pStyle w:val="Bodytext0"/>
        <w:jc w:val="both"/>
      </w:pPr>
      <w:r w:rsidRPr="00CE5397">
        <w:rPr>
          <w:rStyle w:val="rynqvb"/>
          <w:rFonts w:eastAsia="Georgia"/>
          <w:lang w:val="sq-AL"/>
        </w:rPr>
        <w:t>Kompetenca të ngjashme, si ato të Komisionit Ndërdikasterial në drejtim të dhënies së rekomandimeve për qëllime të ekzekutimit të aktgjykimeve të GJEDNJ-së, janë paraparë edhe për Byronë për Përfaqësimin e RMV-së para GJEDNJ-së, në përputhje me Nenin 4, paragrafi 12 të Ligjit për Përfaqësimin e RMV-së para GJEDNJ-së.</w:t>
      </w:r>
      <w:r w:rsidRPr="00CE5397">
        <w:rPr>
          <w:lang w:val="sq-AL"/>
        </w:rPr>
        <w:t xml:space="preserve"> („G. Zyrtare e </w:t>
      </w:r>
      <w:r>
        <w:rPr>
          <w:lang w:val="sq-AL"/>
        </w:rPr>
        <w:t>R</w:t>
      </w:r>
      <w:r w:rsidRPr="00CE5397">
        <w:rPr>
          <w:lang w:val="sq-AL"/>
        </w:rPr>
        <w:t>.М.“ nr. 67/09, 43/14 dhe 64/18</w:t>
      </w:r>
      <w:r w:rsidR="003B25C9">
        <w:t>).</w:t>
      </w:r>
    </w:p>
    <w:p w:rsidR="00D65C97" w:rsidRDefault="00572F31">
      <w:pPr>
        <w:pStyle w:val="Heading30"/>
        <w:keepNext/>
        <w:keepLines/>
        <w:numPr>
          <w:ilvl w:val="0"/>
          <w:numId w:val="1"/>
        </w:numPr>
        <w:tabs>
          <w:tab w:val="left" w:pos="730"/>
        </w:tabs>
        <w:spacing w:after="0"/>
        <w:ind w:left="740" w:hanging="360"/>
        <w:jc w:val="both"/>
      </w:pPr>
      <w:bookmarkStart w:id="11" w:name="bookmark25"/>
      <w:r w:rsidRPr="00CE5397">
        <w:rPr>
          <w:lang w:val="sq-AL"/>
        </w:rPr>
        <w:t>Ekzekutimi i vendimeve të Gjykatës Evropiane për të Drejtat e Njeriut kundër Republikës së Maqedonisë së Veriut gjatë vitit</w:t>
      </w:r>
      <w:r>
        <w:t xml:space="preserve"> </w:t>
      </w:r>
      <w:r w:rsidR="003B25C9">
        <w:t xml:space="preserve">2024 </w:t>
      </w:r>
      <w:bookmarkEnd w:id="11"/>
    </w:p>
    <w:p w:rsidR="00633523" w:rsidRDefault="00633523" w:rsidP="00633523">
      <w:pPr>
        <w:pStyle w:val="Heading30"/>
        <w:keepNext/>
        <w:keepLines/>
        <w:tabs>
          <w:tab w:val="left" w:pos="730"/>
        </w:tabs>
        <w:spacing w:after="0"/>
        <w:ind w:left="740"/>
        <w:jc w:val="both"/>
      </w:pPr>
    </w:p>
    <w:p w:rsidR="00D65C97" w:rsidRDefault="00C404FF">
      <w:pPr>
        <w:pStyle w:val="Bodytext0"/>
        <w:jc w:val="both"/>
      </w:pPr>
      <w:r w:rsidRPr="00CE5397">
        <w:rPr>
          <w:rStyle w:val="rynqvb"/>
          <w:rFonts w:eastAsia="Georgia"/>
          <w:lang w:val="sq-AL"/>
        </w:rPr>
        <w:t>Gjatë vitit 2024 nuk është mbajtur asnjë mbledhje e Komisionit Ndërdikasterial për qëllimet e ekzekutimit të vendimeve të Gjykatës Evropiane për të Drejtat e Njeriut</w:t>
      </w:r>
      <w:r w:rsidRPr="00CE5397">
        <w:rPr>
          <w:lang w:val="sq-AL"/>
        </w:rPr>
        <w:t>.</w:t>
      </w:r>
      <w:r>
        <w:rPr>
          <w:lang w:val="sq-AL"/>
        </w:rPr>
        <w:t xml:space="preserve"> </w:t>
      </w:r>
      <w:r w:rsidRPr="00CE5397">
        <w:rPr>
          <w:rStyle w:val="rynqvb"/>
          <w:rFonts w:eastAsia="Georgia"/>
          <w:lang w:val="sq-AL"/>
        </w:rPr>
        <w:t xml:space="preserve">Megjithatë, gjatë vitit 2024, Byroja për Përfaqësimin e RMV-së para GJEDNJ-së, duke marrë parasysh kryesisht </w:t>
      </w:r>
      <w:r w:rsidRPr="00CE5397">
        <w:rPr>
          <w:rStyle w:val="rynqvb"/>
          <w:rFonts w:eastAsia="Georgia"/>
          <w:lang w:val="sq-AL"/>
        </w:rPr>
        <w:lastRenderedPageBreak/>
        <w:t xml:space="preserve">kompetencat e saj sipas Nenit 4, paragrafi 12 të Ligjit për Përfaqësimin e RMV-së në </w:t>
      </w:r>
      <w:r>
        <w:rPr>
          <w:rStyle w:val="rynqvb"/>
          <w:rFonts w:eastAsia="Georgia"/>
          <w:lang w:val="sq-AL"/>
        </w:rPr>
        <w:t xml:space="preserve">GJEDNJ </w:t>
      </w:r>
      <w:r w:rsidRPr="00CE5397">
        <w:rPr>
          <w:lang w:val="sq-AL"/>
        </w:rPr>
        <w:t>(„G. Zyrtare e R.М.“ nr. 67/09, 43/14 dhe 64/18) s</w:t>
      </w:r>
      <w:r w:rsidRPr="00CE5397">
        <w:rPr>
          <w:rStyle w:val="rynqvb"/>
          <w:rFonts w:eastAsia="Georgia"/>
          <w:lang w:val="sq-AL"/>
        </w:rPr>
        <w:t>ipas të cilit Byroja për Përfaqësimin</w:t>
      </w:r>
      <w:r>
        <w:rPr>
          <w:rStyle w:val="rynqvb"/>
          <w:rFonts w:eastAsia="Georgia"/>
          <w:lang w:val="sq-AL"/>
        </w:rPr>
        <w:t xml:space="preserve"> </w:t>
      </w:r>
      <w:r w:rsidRPr="00CE5397">
        <w:rPr>
          <w:rStyle w:val="rynqvb"/>
          <w:rFonts w:eastAsia="Georgia"/>
          <w:lang w:val="sq-AL"/>
        </w:rPr>
        <w:t>e RMV-së para GJEDNJ-së përgatit rekomandime për veprime të mundshme të gjykatave vendase dhe organeve shtetërore me qëllim zbatimin</w:t>
      </w:r>
      <w:r>
        <w:rPr>
          <w:rStyle w:val="rynqvb"/>
          <w:rFonts w:eastAsia="Georgia"/>
          <w:lang w:val="sq-AL"/>
        </w:rPr>
        <w:t xml:space="preserve"> </w:t>
      </w:r>
      <w:r w:rsidRPr="00CE5397">
        <w:rPr>
          <w:rStyle w:val="rynqvb"/>
          <w:rFonts w:eastAsia="Georgia"/>
          <w:lang w:val="sq-AL"/>
        </w:rPr>
        <w:t>e</w:t>
      </w:r>
      <w:r>
        <w:rPr>
          <w:rStyle w:val="rynqvb"/>
          <w:rFonts w:eastAsia="Georgia"/>
          <w:lang w:val="sq-AL"/>
        </w:rPr>
        <w:t xml:space="preserve"> vendimeve të GJ</w:t>
      </w:r>
      <w:r w:rsidRPr="00CE5397">
        <w:rPr>
          <w:rStyle w:val="rynqvb"/>
          <w:rFonts w:eastAsia="Georgia"/>
          <w:lang w:val="sq-AL"/>
        </w:rPr>
        <w:t xml:space="preserve">EDNJ-së në rast të shkeljes së KEDNJ-së nga shteti, ka nxjerrë shumë rekomandime me qëllim zbatimin e </w:t>
      </w:r>
      <w:r>
        <w:rPr>
          <w:rStyle w:val="rynqvb"/>
          <w:rFonts w:eastAsia="Georgia"/>
          <w:lang w:val="sq-AL"/>
        </w:rPr>
        <w:t>aktgjykimeve</w:t>
      </w:r>
      <w:r w:rsidRPr="00CE5397">
        <w:rPr>
          <w:rStyle w:val="rynqvb"/>
          <w:rFonts w:eastAsia="Georgia"/>
          <w:lang w:val="sq-AL"/>
        </w:rPr>
        <w:t xml:space="preserve"> të GJEDNJ-së dhe ka realizuar komunikim dinamik me institucione të shumta për qëllimet e sigurimit të informacioneve në funksion të njoftimit të Komitetit të Ministrave për rrjedhën dhe dinamikën e ekzekutimit të aktgjykimeve dhe koordinimin</w:t>
      </w:r>
      <w:r>
        <w:rPr>
          <w:rStyle w:val="rynqvb"/>
          <w:rFonts w:eastAsia="Georgia"/>
          <w:lang w:val="sq-AL"/>
        </w:rPr>
        <w:t xml:space="preserve"> </w:t>
      </w:r>
      <w:r w:rsidRPr="00CE5397">
        <w:rPr>
          <w:rStyle w:val="rynqvb"/>
          <w:rFonts w:eastAsia="Georgia"/>
          <w:lang w:val="sq-AL"/>
        </w:rPr>
        <w:t>e vazhdueshëm të procesit të ekzekutimit</w:t>
      </w:r>
      <w:r w:rsidR="003B25C9">
        <w:t xml:space="preserve">. </w:t>
      </w:r>
      <w:r w:rsidRPr="00CE5397">
        <w:rPr>
          <w:rStyle w:val="rynqvb"/>
          <w:rFonts w:eastAsia="Georgia"/>
          <w:lang w:val="sq-AL"/>
        </w:rPr>
        <w:t xml:space="preserve">Ndër të tjera, më 20 dhe 21 nëntor 2024, vendi </w:t>
      </w:r>
      <w:r>
        <w:rPr>
          <w:rStyle w:val="rynqvb"/>
          <w:rFonts w:eastAsia="Georgia"/>
          <w:lang w:val="sq-AL"/>
        </w:rPr>
        <w:t>ynë ishte nikoqir i</w:t>
      </w:r>
      <w:r w:rsidRPr="00CE5397">
        <w:rPr>
          <w:rStyle w:val="rynqvb"/>
          <w:rFonts w:eastAsia="Georgia"/>
          <w:lang w:val="sq-AL"/>
        </w:rPr>
        <w:t xml:space="preserve"> një delegacion nga Seksioni për Ekzekutimin e Vendimeve të GJEDNJ-së në kuadër të Drejtorisë së Përgjithshme kompetente të Këshillit të Evropës, e cila është sekretariati ligjor i Komitetit të Ministrave të Këshillit të Evropës që mbikëqyr ekzekutimin e vendimeve të GJEDNJ-së. Delegacioni përbëhej nga znj. Kler Braun, shefe e divizionit, znj. Bojana Nikolin, shefe e seksionit dhe z. Nedim Kulenoviq, nëpunës ligjor.</w:t>
      </w:r>
      <w:r>
        <w:rPr>
          <w:rStyle w:val="rynqvb"/>
          <w:rFonts w:eastAsia="Georgia"/>
          <w:lang w:val="sq-AL"/>
        </w:rPr>
        <w:t xml:space="preserve"> </w:t>
      </w:r>
      <w:r w:rsidRPr="00CE5397">
        <w:rPr>
          <w:rStyle w:val="rynqvb"/>
          <w:rFonts w:eastAsia="Georgia"/>
          <w:lang w:val="sq-AL"/>
        </w:rPr>
        <w:t>Delegacioni u shoqërua nga përfaqësues të Ministrisë së Drejtësisë - Byrosë për Përfaqësimin e RMV-së para GJEDNJ-së, dhe pati takime me zëvendësministrin e drejtësisë, z. Alain Dereban, ministrin e Punëve të Brendshme, z. Panç</w:t>
      </w:r>
      <w:r>
        <w:rPr>
          <w:rStyle w:val="rynqvb"/>
          <w:rFonts w:eastAsia="Georgia"/>
          <w:lang w:val="sq-AL"/>
        </w:rPr>
        <w:t>e Toshkovski, drejtoreshën</w:t>
      </w:r>
      <w:r w:rsidRPr="00CE5397">
        <w:rPr>
          <w:rStyle w:val="rynqvb"/>
          <w:rFonts w:eastAsia="Georgia"/>
          <w:lang w:val="sq-AL"/>
        </w:rPr>
        <w:t xml:space="preserve"> e Akademisë së Gjyqtarëve dhe Prokurorëve </w:t>
      </w:r>
      <w:r>
        <w:rPr>
          <w:rStyle w:val="rynqvb"/>
          <w:rFonts w:eastAsia="Georgia"/>
          <w:lang w:val="sq-AL"/>
        </w:rPr>
        <w:t>Publikë, znj. Irina Trajkoska, m</w:t>
      </w:r>
      <w:r w:rsidRPr="00CE5397">
        <w:rPr>
          <w:rStyle w:val="rynqvb"/>
          <w:rFonts w:eastAsia="Georgia"/>
          <w:lang w:val="sq-AL"/>
        </w:rPr>
        <w:t>inistren e Arsimit dhe Shkencës</w:t>
      </w:r>
      <w:r>
        <w:rPr>
          <w:rStyle w:val="rynqvb"/>
          <w:rFonts w:eastAsia="Georgia"/>
          <w:lang w:val="sq-AL"/>
        </w:rPr>
        <w:t xml:space="preserve"> Vesna Janevska</w:t>
      </w:r>
      <w:r w:rsidRPr="00CE5397">
        <w:rPr>
          <w:rStyle w:val="rynqvb"/>
          <w:rFonts w:eastAsia="Georgia"/>
          <w:lang w:val="sq-AL"/>
        </w:rPr>
        <w:t>, dhe ministrin për Transformim Digjital, z. Stefan Andonovski</w:t>
      </w:r>
      <w:r w:rsidRPr="00CE5397">
        <w:rPr>
          <w:lang w:val="sq-AL"/>
        </w:rPr>
        <w:t xml:space="preserve">. </w:t>
      </w:r>
      <w:r w:rsidRPr="00CE5397">
        <w:rPr>
          <w:rStyle w:val="rynqvb"/>
          <w:rFonts w:eastAsia="Georgia"/>
          <w:lang w:val="sq-AL"/>
        </w:rPr>
        <w:t>Vizita e lartpërmendur është realizuar me rastin e ekzekutimit të aktgjykimeve të Gjykatës Evropiane për të Drejtat e Njeriut, konkretisht aktgjykimeve në lëndët X, Kitanovska dhe Barbulovski, grupi i aktgjykimeve Mitovi, grupi i aktgjykimeve Vasilkoski, Trajkovski dhe Çipovski dhe Elmazova etj</w:t>
      </w:r>
      <w:r w:rsidR="003B25C9">
        <w:t>.</w:t>
      </w:r>
      <w:r>
        <w:t xml:space="preserve"> </w:t>
      </w:r>
    </w:p>
    <w:p w:rsidR="00D65C97" w:rsidRDefault="00C404FF" w:rsidP="00C404FF">
      <w:pPr>
        <w:pStyle w:val="Bodytext0"/>
        <w:spacing w:after="0"/>
        <w:jc w:val="both"/>
      </w:pPr>
      <w:r w:rsidRPr="00CE5397">
        <w:rPr>
          <w:rStyle w:val="rynqvb"/>
          <w:rFonts w:eastAsia="Georgia"/>
          <w:lang w:val="sq-AL"/>
        </w:rPr>
        <w:t>Përvoja e deritanishme tregon se Komisioni Ndërdikasterial është mjaft i ngushtë ose i pamjaftueshëm për marrjen në konsideratë të masave të mundshme për ekzekutimin e aktgjykimeve të caktuara, veçanërisht për shembull kur ata supozojnë ndryshime ligjore për të cilat janë përgjegjës dikasteret që nuk marrin pjesë me anëtarët e tyre në këtë Komision.</w:t>
      </w:r>
      <w:r>
        <w:rPr>
          <w:rStyle w:val="rynqvb"/>
          <w:rFonts w:eastAsia="Georgia"/>
          <w:lang w:val="sq-AL"/>
        </w:rPr>
        <w:t xml:space="preserve"> </w:t>
      </w:r>
      <w:r w:rsidRPr="00CE5397">
        <w:rPr>
          <w:rStyle w:val="rynqvb"/>
          <w:rFonts w:eastAsia="Georgia"/>
          <w:lang w:val="sq-AL"/>
        </w:rPr>
        <w:t>Gjithashtu, zgjidhja ligjore për këtë Komision duket se nuk korrespondon plotësisht me nevojat aktuale, pasi ajo është krijuar në kushtet para futjes së sistemit aktual të mbikëqyrjes së ekzekutimit nga Komiteti i Ministrave.</w:t>
      </w:r>
      <w:r>
        <w:rPr>
          <w:rStyle w:val="rynqvb"/>
          <w:rFonts w:eastAsia="Georgia"/>
          <w:lang w:val="sq-AL"/>
        </w:rPr>
        <w:t xml:space="preserve"> </w:t>
      </w:r>
      <w:r w:rsidRPr="00CE5397">
        <w:rPr>
          <w:rStyle w:val="rynqvb"/>
          <w:rFonts w:eastAsia="Georgia"/>
          <w:lang w:val="sq-AL"/>
        </w:rPr>
        <w:t>Është e nevojshme të merren parasysh ndryshimet e duhura që duhet të pasqyrojnë situatat dhe nevojat reale në shumë nivele të ndryshme. Byroja për Përfaqësimin</w:t>
      </w:r>
      <w:r>
        <w:rPr>
          <w:rStyle w:val="rynqvb"/>
          <w:rFonts w:eastAsia="Georgia"/>
          <w:lang w:val="sq-AL"/>
        </w:rPr>
        <w:t xml:space="preserve"> </w:t>
      </w:r>
      <w:r w:rsidRPr="00CE5397">
        <w:rPr>
          <w:rStyle w:val="rynqvb"/>
          <w:rFonts w:eastAsia="Georgia"/>
          <w:lang w:val="sq-AL"/>
        </w:rPr>
        <w:t>e Republikës së Maqedonisë së Veriut para GJEDNJ-së vazhdon të theksojë nevojën për një kuptim më të mirë të procesit të ekzekutimit të aktgjykimeve nga të gjitha palët e interesuara.</w:t>
      </w:r>
      <w:r>
        <w:rPr>
          <w:rStyle w:val="rynqvb"/>
          <w:rFonts w:eastAsia="Georgia"/>
          <w:lang w:val="sq-AL"/>
        </w:rPr>
        <w:t xml:space="preserve"> </w:t>
      </w:r>
      <w:r w:rsidRPr="00CE5397">
        <w:rPr>
          <w:rStyle w:val="rynqvb"/>
          <w:rFonts w:eastAsia="Georgia"/>
          <w:lang w:val="sq-AL"/>
        </w:rPr>
        <w:t xml:space="preserve">Në këtë funksion, ky raport tradicionalisht i kushton vëmendje të veçantë, </w:t>
      </w:r>
      <w:r w:rsidRPr="00CE5397">
        <w:rPr>
          <w:rStyle w:val="rynqvb"/>
          <w:rFonts w:eastAsia="Georgia"/>
          <w:lang w:val="sq-AL"/>
        </w:rPr>
        <w:lastRenderedPageBreak/>
        <w:t>ndër të tjera, informacioneve që kanë të bëjnë me procesin e ekzekutimit dhe detyrimet e shtetit që dalin në kornizat tij, procedurën e mbikëqyrjes së ekzekutimit nga Komiteti i Ministrave dhe kompetencat e tij në kornizat e</w:t>
      </w:r>
      <w:r>
        <w:rPr>
          <w:rStyle w:val="rynqvb"/>
          <w:rFonts w:eastAsia="Georgia"/>
          <w:lang w:val="sq-AL"/>
        </w:rPr>
        <w:t xml:space="preserve"> </w:t>
      </w:r>
      <w:r w:rsidRPr="00CE5397">
        <w:rPr>
          <w:rStyle w:val="rynqvb"/>
          <w:rFonts w:eastAsia="Georgia"/>
          <w:lang w:val="sq-AL"/>
        </w:rPr>
        <w:t>të një</w:t>
      </w:r>
      <w:r>
        <w:rPr>
          <w:rStyle w:val="rynqvb"/>
          <w:rFonts w:eastAsia="Georgia"/>
          <w:lang w:val="sq-AL"/>
        </w:rPr>
        <w:t>j</w:t>
      </w:r>
      <w:r w:rsidRPr="00CE5397">
        <w:rPr>
          <w:rStyle w:val="rynqvb"/>
          <w:rFonts w:eastAsia="Georgia"/>
          <w:lang w:val="sq-AL"/>
        </w:rPr>
        <w:t>tit, si dhe kompetencat dhe mënyrën e funksionimit të Komisionit Ndërdikasterial</w:t>
      </w:r>
      <w:r>
        <w:rPr>
          <w:rStyle w:val="rynqvb"/>
          <w:rFonts w:eastAsia="Georgia"/>
          <w:lang w:val="sq-AL"/>
        </w:rPr>
        <w:t xml:space="preserve"> për ekzekutimin e vendimeve të GJ</w:t>
      </w:r>
      <w:r w:rsidRPr="00CE5397">
        <w:rPr>
          <w:rStyle w:val="rynqvb"/>
          <w:rFonts w:eastAsia="Georgia"/>
          <w:lang w:val="sq-AL"/>
        </w:rPr>
        <w:t>EDNJ-së</w:t>
      </w:r>
      <w:r w:rsidR="003B25C9">
        <w:t>.</w:t>
      </w:r>
    </w:p>
    <w:p w:rsidR="00C404FF" w:rsidRDefault="00C404FF" w:rsidP="00C404FF">
      <w:pPr>
        <w:pStyle w:val="Bodytext0"/>
        <w:spacing w:after="0"/>
        <w:jc w:val="both"/>
      </w:pPr>
    </w:p>
    <w:p w:rsidR="00D65C97" w:rsidRDefault="00C404FF">
      <w:pPr>
        <w:pStyle w:val="Heading30"/>
        <w:keepNext/>
        <w:keepLines/>
        <w:numPr>
          <w:ilvl w:val="0"/>
          <w:numId w:val="1"/>
        </w:numPr>
        <w:tabs>
          <w:tab w:val="left" w:pos="730"/>
        </w:tabs>
        <w:ind w:left="740" w:hanging="360"/>
        <w:jc w:val="both"/>
      </w:pPr>
      <w:bookmarkStart w:id="12" w:name="bookmark27"/>
      <w:r w:rsidRPr="00CE5397">
        <w:rPr>
          <w:lang w:val="sq-AL"/>
        </w:rPr>
        <w:t>Gjendja e lëndëve</w:t>
      </w:r>
      <w:r>
        <w:rPr>
          <w:lang w:val="sq-AL"/>
        </w:rPr>
        <w:t xml:space="preserve"> </w:t>
      </w:r>
      <w:r w:rsidRPr="00CE5397">
        <w:rPr>
          <w:lang w:val="sq-AL"/>
        </w:rPr>
        <w:t>kundër Republikës së Maqedonisë së Veriut nën mbikëqyrjen e Komitetit të Ministrave</w:t>
      </w:r>
      <w:r>
        <w:t xml:space="preserve"> </w:t>
      </w:r>
      <w:bookmarkEnd w:id="12"/>
    </w:p>
    <w:p w:rsidR="00D65C97" w:rsidRDefault="00C404FF">
      <w:pPr>
        <w:pStyle w:val="Bodytext0"/>
        <w:spacing w:after="240" w:line="346" w:lineRule="auto"/>
        <w:jc w:val="both"/>
      </w:pPr>
      <w:r w:rsidRPr="00CE5397">
        <w:rPr>
          <w:rStyle w:val="rynqvb"/>
          <w:rFonts w:eastAsia="Georgia"/>
          <w:lang w:val="sq-AL"/>
        </w:rPr>
        <w:t>Të dhënat statistikore të paraqitura në aneksin e këtij raporti i referohen vitit 2024, pra periudhës nga 1 janari deri më 31 dhjetor 2024 dhe janë paraqitur duke përdorur një klasifikim të përputhshëm me atë të përdorur nga Komiteti i Ministrave, sipas të cilit rastet ndahen në</w:t>
      </w:r>
      <w:r w:rsidRPr="00CE5397">
        <w:rPr>
          <w:lang w:val="sq-AL"/>
        </w:rPr>
        <w:t xml:space="preserve">: </w:t>
      </w:r>
      <w:r w:rsidRPr="00CE5397">
        <w:rPr>
          <w:i/>
          <w:iCs/>
          <w:lang w:val="sq-AL"/>
        </w:rPr>
        <w:t>kryesore, „të klonuara“ (të përsëritura) dhe të izoluara</w:t>
      </w:r>
      <w:r w:rsidR="003B25C9">
        <w:rPr>
          <w:i/>
          <w:iCs/>
        </w:rPr>
        <w:t>.</w:t>
      </w:r>
    </w:p>
    <w:p w:rsidR="00D65C97" w:rsidRDefault="00C404FF">
      <w:pPr>
        <w:pStyle w:val="Bodytext0"/>
        <w:jc w:val="both"/>
      </w:pPr>
      <w:r w:rsidRPr="00CE5397">
        <w:rPr>
          <w:b/>
          <w:bCs/>
          <w:lang w:val="sq-AL"/>
        </w:rPr>
        <w:t xml:space="preserve">Raste kryesore, </w:t>
      </w:r>
      <w:r w:rsidRPr="00CE5397">
        <w:rPr>
          <w:rStyle w:val="rynqvb"/>
          <w:rFonts w:eastAsia="Georgia"/>
          <w:lang w:val="sq-AL"/>
        </w:rPr>
        <w:t>për qëllime të mbikëqyrjes së ekzekutimit, janë ato që janë identifikuar nga vetë GJEDNJ-ja në vendimin e saj ose nga Komiteti i Ministrave si raste që zbulojnë probleme strukturore në shtetin përgjegjës dhe ekzekutimi i të cilave kërkon marrjen e masave të përgjithshme.</w:t>
      </w:r>
      <w:r>
        <w:rPr>
          <w:rStyle w:val="rynqvb"/>
          <w:rFonts w:eastAsia="Georgia"/>
          <w:lang w:val="sq-AL"/>
        </w:rPr>
        <w:t xml:space="preserve"> </w:t>
      </w:r>
      <w:r w:rsidRPr="00CE5397">
        <w:rPr>
          <w:lang w:val="sq-AL"/>
        </w:rPr>
        <w:t>Rastet kryesore</w:t>
      </w:r>
      <w:r w:rsidRPr="00CE5397">
        <w:rPr>
          <w:i/>
          <w:iCs/>
          <w:lang w:val="sq-AL"/>
        </w:rPr>
        <w:t xml:space="preserve">а ЈогИогГ </w:t>
      </w:r>
      <w:r w:rsidRPr="00CE5397">
        <w:rPr>
          <w:lang w:val="sq-AL"/>
        </w:rPr>
        <w:t xml:space="preserve">përfshijnë aktgjykimet „pilot“ të sjella nga GJEDNJ-ja. </w:t>
      </w:r>
      <w:r w:rsidRPr="00CE5397">
        <w:rPr>
          <w:rStyle w:val="rynqvb"/>
          <w:rFonts w:eastAsia="Georgia"/>
          <w:lang w:val="sq-AL"/>
        </w:rPr>
        <w:t>Duhet të kihet parasysh se rastet kryesore mund të ndryshojnë për nga rëndësia e tyre, duke qenë se kanë të bëjnë me probleme me shkallë</w:t>
      </w:r>
      <w:r>
        <w:rPr>
          <w:rStyle w:val="rynqvb"/>
          <w:rFonts w:eastAsia="Georgia"/>
          <w:lang w:val="sq-AL"/>
        </w:rPr>
        <w:t xml:space="preserve"> </w:t>
      </w:r>
      <w:r w:rsidRPr="00CE5397">
        <w:rPr>
          <w:rStyle w:val="rynqvb"/>
          <w:rFonts w:eastAsia="Georgia"/>
          <w:lang w:val="sq-AL"/>
        </w:rPr>
        <w:t>të ndryshme kompleksiteti, të cilat, në varësi të rrethanave, kërkojnë që të merren masa më të thjeshta ose më komplekse për zbatimin e tyre</w:t>
      </w:r>
      <w:r w:rsidR="003B25C9">
        <w:t>.</w:t>
      </w:r>
    </w:p>
    <w:p w:rsidR="00D65C97" w:rsidRDefault="00C404FF">
      <w:pPr>
        <w:pStyle w:val="Bodytext0"/>
        <w:jc w:val="both"/>
      </w:pPr>
      <w:r w:rsidRPr="00CE5397">
        <w:rPr>
          <w:b/>
          <w:bCs/>
          <w:lang w:val="sq-AL"/>
        </w:rPr>
        <w:t>Raste „Të klonuara“ (të përsëritura)</w:t>
      </w:r>
      <w:r>
        <w:rPr>
          <w:b/>
          <w:bCs/>
          <w:lang w:val="sq-AL"/>
        </w:rPr>
        <w:t xml:space="preserve"> </w:t>
      </w:r>
      <w:r w:rsidRPr="00CE5397">
        <w:rPr>
          <w:rStyle w:val="rynqvb"/>
          <w:rFonts w:eastAsia="Georgia"/>
          <w:lang w:val="sq-AL"/>
        </w:rPr>
        <w:t>në parim janë ato që kanë të bëjnë me probleme strukturore ose të përgjithshme që tashmë janë ngritur para Komitetit të Ministrave në një ose më shumë çështje kryesore, përkatësisht lëndë, dhe këto çështje zakonisht grupohen së bashku me lëndën kryesore për qëllime të mbikëqyrjes së ekzekutimit</w:t>
      </w:r>
      <w:r w:rsidR="003B25C9">
        <w:t>.</w:t>
      </w:r>
    </w:p>
    <w:p w:rsidR="00D65C97" w:rsidRDefault="00C404FF" w:rsidP="00C404FF">
      <w:pPr>
        <w:pStyle w:val="Bodytext0"/>
        <w:jc w:val="both"/>
      </w:pPr>
      <w:r w:rsidRPr="00CE5397">
        <w:rPr>
          <w:b/>
          <w:bCs/>
          <w:lang w:val="sq-AL"/>
        </w:rPr>
        <w:t>Raste të izoluara</w:t>
      </w:r>
      <w:r>
        <w:rPr>
          <w:b/>
          <w:bCs/>
          <w:lang w:val="sq-AL"/>
        </w:rPr>
        <w:t xml:space="preserve"> </w:t>
      </w:r>
      <w:r w:rsidRPr="00CE5397">
        <w:rPr>
          <w:rStyle w:val="rynqvb"/>
          <w:rFonts w:eastAsia="Georgia"/>
          <w:lang w:val="sq-AL"/>
        </w:rPr>
        <w:t>janë ato ku shkelja e KEDNJ-së është e lidhur ngushtë me 13 rrethanat specifike të lëndës konkrete</w:t>
      </w:r>
      <w:r w:rsidRPr="00CE5397">
        <w:rPr>
          <w:lang w:val="sq-AL"/>
        </w:rPr>
        <w:t xml:space="preserve">. </w:t>
      </w:r>
      <w:r w:rsidRPr="00CE5397">
        <w:rPr>
          <w:rStyle w:val="rynqvb"/>
          <w:rFonts w:eastAsia="Georgia"/>
          <w:lang w:val="sq-AL"/>
        </w:rPr>
        <w:t>Një rast që është klasifikuar si një rast i izoluar në fazën fillestare të mbikëqyrjes së procesit të ekzekutimit mund të bëhet rast kryesor, në dritën e informacioneve të mëvonshme që tregojnë ekzistencën e një problemi më të përgjithshëm</w:t>
      </w:r>
      <w:r w:rsidR="003B25C9">
        <w:t>.</w:t>
      </w:r>
    </w:p>
    <w:p w:rsidR="00D65C97" w:rsidRDefault="00C404FF">
      <w:pPr>
        <w:pStyle w:val="Bodytext0"/>
        <w:spacing w:after="520"/>
        <w:jc w:val="both"/>
      </w:pPr>
      <w:r w:rsidRPr="00CE5397">
        <w:rPr>
          <w:b/>
          <w:bCs/>
          <w:lang w:val="sq-AL"/>
        </w:rPr>
        <w:t xml:space="preserve">Lëndë të zgjidhura me </w:t>
      </w:r>
      <w:r w:rsidRPr="00CE5397">
        <w:rPr>
          <w:b/>
          <w:bCs/>
          <w:color w:val="auto"/>
          <w:lang w:val="sq-AL"/>
        </w:rPr>
        <w:t>marrëveshje</w:t>
      </w:r>
      <w:r w:rsidRPr="00CE5397">
        <w:rPr>
          <w:b/>
          <w:bCs/>
          <w:lang w:val="sq-AL"/>
        </w:rPr>
        <w:t xml:space="preserve">, </w:t>
      </w:r>
      <w:r w:rsidRPr="00CE5397">
        <w:rPr>
          <w:rStyle w:val="rynqvb"/>
          <w:rFonts w:eastAsia="Georgia"/>
          <w:lang w:val="sq-AL"/>
        </w:rPr>
        <w:t>më së shpeshti përfshihen në një nga grupet e formuara për qëllime të monitorimit të procesit të ekzekutimit në mënyrën e përshkruar më sipër.</w:t>
      </w:r>
      <w:r>
        <w:rPr>
          <w:rStyle w:val="rynqvb"/>
          <w:rFonts w:eastAsia="Georgia"/>
          <w:lang w:val="sq-AL"/>
        </w:rPr>
        <w:t xml:space="preserve"> </w:t>
      </w:r>
      <w:r w:rsidRPr="00CE5397">
        <w:rPr>
          <w:rStyle w:val="rynqvb"/>
          <w:rFonts w:eastAsia="Georgia"/>
          <w:lang w:val="sq-AL"/>
        </w:rPr>
        <w:t xml:space="preserve">Me </w:t>
      </w:r>
      <w:r w:rsidRPr="00CE5397">
        <w:rPr>
          <w:rStyle w:val="rynqvb"/>
          <w:rFonts w:eastAsia="Georgia"/>
          <w:lang w:val="sq-AL"/>
        </w:rPr>
        <w:lastRenderedPageBreak/>
        <w:t>hyrjen në fuqi të Protokollit nr. 14 më 1 qershor 2010, Komiteti i Ministrave ka gjithashtu juridiksion mbi ekzekutimin e vendimeve për zgjidhjen me marrëveshje të lëndëve të miratuara nga GJEDNJ-ja në bazë të një marrëveshjeje të arritur midis shtetit dhe aplikantit ose aplikantëve, në përputhje me Nenin 39 paragrafi 4 i KEDNJ-së, si dhe në përputhje me Nenin 39 të KEDNJ-së, si dhe në aktgjykimet e nxjerra</w:t>
      </w:r>
      <w:r>
        <w:rPr>
          <w:rStyle w:val="rynqvb"/>
          <w:rFonts w:eastAsia="Georgia"/>
          <w:lang w:val="sq-AL"/>
        </w:rPr>
        <w:t xml:space="preserve"> </w:t>
      </w:r>
      <w:r w:rsidRPr="00CE5397">
        <w:rPr>
          <w:rStyle w:val="rynqvb"/>
          <w:rFonts w:eastAsia="Georgia"/>
          <w:lang w:val="sq-AL"/>
        </w:rPr>
        <w:t>nga ana e Këshillit me tre gjyqtarë në përputhje me Nenin 28 paragrafi 1 pika (b) të KEDNJ-së</w:t>
      </w:r>
      <w:r w:rsidR="003B25C9">
        <w:t>.</w:t>
      </w:r>
    </w:p>
    <w:p w:rsidR="00D65C97" w:rsidRDefault="00DE0A41">
      <w:pPr>
        <w:pStyle w:val="Bodytext0"/>
        <w:jc w:val="both"/>
      </w:pPr>
      <w:r w:rsidRPr="00CE5397">
        <w:rPr>
          <w:rStyle w:val="rynqvb"/>
          <w:rFonts w:eastAsia="Georgia"/>
          <w:lang w:val="sq-AL"/>
        </w:rPr>
        <w:t>Komiteti i Ministrave nuk monitoron ekzekutimin e vendimeve të marra në bazë të deklaratave të njëanshme apo deklaratave të njëanshme të shteteve që pranojnë shkelje të KEDNJ-së</w:t>
      </w:r>
      <w:r w:rsidRPr="00CE5397">
        <w:rPr>
          <w:lang w:val="sq-AL"/>
        </w:rPr>
        <w:t xml:space="preserve">. </w:t>
      </w:r>
      <w:r w:rsidRPr="00CE5397">
        <w:rPr>
          <w:rStyle w:val="rynqvb"/>
          <w:rFonts w:eastAsia="Georgia"/>
          <w:lang w:val="sq-AL"/>
        </w:rPr>
        <w:t>Megjithatë, duhet pasur parasysh se nëse shteti nuk zbaton detyrimet e marra prej tij në deklaratën e njëanshme të bërë, aplikanti ka të drejtë të kërkojë që çështja e tij të kthehet në listën e çështjeve pranë GJEDNJ-së</w:t>
      </w:r>
      <w:r w:rsidRPr="00CE5397">
        <w:rPr>
          <w:lang w:val="sq-AL"/>
        </w:rPr>
        <w:t xml:space="preserve">. </w:t>
      </w:r>
      <w:r w:rsidRPr="00CE5397">
        <w:rPr>
          <w:rStyle w:val="rynqvb"/>
          <w:rFonts w:eastAsia="Georgia"/>
          <w:lang w:val="sq-AL"/>
        </w:rPr>
        <w:t>Deri më tani kjo nuk ka ndodhur në asnjë rast para GJEDNJ-së që ka përfunduar me një vendim të bazuar në një deklaratë të njëanshme të shtetit</w:t>
      </w:r>
      <w:r w:rsidR="003B25C9">
        <w:t>.</w:t>
      </w:r>
    </w:p>
    <w:p w:rsidR="00D65C97" w:rsidRDefault="00DE0A41">
      <w:pPr>
        <w:pStyle w:val="Heading30"/>
        <w:keepNext/>
        <w:keepLines/>
        <w:numPr>
          <w:ilvl w:val="0"/>
          <w:numId w:val="1"/>
        </w:numPr>
        <w:tabs>
          <w:tab w:val="left" w:pos="730"/>
        </w:tabs>
        <w:ind w:firstLine="380"/>
        <w:jc w:val="both"/>
      </w:pPr>
      <w:bookmarkStart w:id="13" w:name="bookmark29"/>
      <w:r w:rsidRPr="00E14277">
        <w:rPr>
          <w:lang w:val="sq-AL"/>
        </w:rPr>
        <w:t>Lëndë në ekzekutim nën mbikëqyrjen e Komitetit të Ministrave</w:t>
      </w:r>
      <w:r>
        <w:t xml:space="preserve"> </w:t>
      </w:r>
      <w:bookmarkEnd w:id="13"/>
    </w:p>
    <w:p w:rsidR="00D65C97" w:rsidRDefault="00DE0A41">
      <w:pPr>
        <w:pStyle w:val="Bodytext0"/>
        <w:jc w:val="both"/>
      </w:pPr>
      <w:r w:rsidRPr="00CE5397">
        <w:rPr>
          <w:rStyle w:val="rynqvb"/>
          <w:rFonts w:eastAsia="Georgia"/>
          <w:lang w:val="sq-AL"/>
        </w:rPr>
        <w:t>Pasi mbi në vitin 2016</w:t>
      </w:r>
      <w:r>
        <w:rPr>
          <w:rStyle w:val="rynqvb"/>
          <w:rFonts w:eastAsia="Georgia"/>
          <w:lang w:val="sq-AL"/>
        </w:rPr>
        <w:t xml:space="preserve"> kur </w:t>
      </w:r>
      <w:r w:rsidRPr="00CE5397">
        <w:rPr>
          <w:rStyle w:val="rynqvb"/>
          <w:rFonts w:eastAsia="Georgia"/>
          <w:lang w:val="sq-AL"/>
        </w:rPr>
        <w:t>ishin nën mbikëqyrjen e Komitetit të Ministrave 100 çështje kundër shtetit, ai arriti rekord për sa i përket numrit të aktgjykimeve dhe vendimeve për të cilat u miratua rezolutë përfundimtare nga Komiteti i Ministrave brenda një viti, duke shënuar kështu përfundimin e procesit të ekzekutimit të tyre, që vjen kryesisht për shkak të mbylljes së rreth 60 aktgjykimeve me të cilat ishte konstatuar shkelja e së drejtës së gjykimit në afat të arsyeshëm sipas nenit 6 të KEDNJ-së, dhe në disa prej tyre shkelje të Nenit 13</w:t>
      </w:r>
      <w:r>
        <w:rPr>
          <w:rStyle w:val="rynqvb"/>
          <w:rFonts w:eastAsia="Georgia"/>
          <w:lang w:val="sq-AL"/>
        </w:rPr>
        <w:t xml:space="preserve"> </w:t>
      </w:r>
      <w:r w:rsidRPr="00CE5397">
        <w:rPr>
          <w:rStyle w:val="rynqvb"/>
          <w:rFonts w:eastAsia="Georgia"/>
          <w:lang w:val="sq-AL"/>
        </w:rPr>
        <w:t xml:space="preserve">(e drejta për mjet juridik efektiv të brendshëm) në lidhje me Nenin 6 (e drejta për një gjykim brenda një afati të arsyeshëm), dhe mbi të gjitha duke kapitalizuar në përpjekjet e bëra në vitet e mëparshme për të përshpejtuar procedurat e brendshme, duke reduktuar numrin e të ashtuquajturave "lëndë të vjetra", por duket kryesisht për shkak të futjes së mjetit juridik të brendshëm të shpallur në Gjykatën e Lartë për mbrojtjen gjykimit në afat të arsyeshëm që në vitin 2011, </w:t>
      </w:r>
      <w:r>
        <w:rPr>
          <w:rStyle w:val="rynqvb"/>
          <w:rFonts w:eastAsia="Georgia"/>
          <w:lang w:val="sq-AL"/>
        </w:rPr>
        <w:t>u shpall si e</w:t>
      </w:r>
      <w:r w:rsidRPr="00CE5397">
        <w:rPr>
          <w:rStyle w:val="rynqvb"/>
          <w:rFonts w:eastAsia="Georgia"/>
          <w:lang w:val="sq-AL"/>
        </w:rPr>
        <w:t xml:space="preserve">fikase nga ana e </w:t>
      </w:r>
      <w:r>
        <w:rPr>
          <w:rStyle w:val="rynqvb"/>
          <w:rFonts w:eastAsia="Georgia"/>
          <w:lang w:val="sq-AL"/>
        </w:rPr>
        <w:t>GJ</w:t>
      </w:r>
      <w:r w:rsidRPr="00CE5397">
        <w:rPr>
          <w:rStyle w:val="rynqvb"/>
          <w:rFonts w:eastAsia="Georgia"/>
          <w:lang w:val="sq-AL"/>
        </w:rPr>
        <w:t>EDNJ</w:t>
      </w:r>
      <w:r w:rsidR="003B25C9">
        <w:rPr>
          <w:sz w:val="16"/>
          <w:szCs w:val="16"/>
          <w:vertAlign w:val="superscript"/>
        </w:rPr>
        <w:footnoteReference w:id="2"/>
      </w:r>
      <w:r w:rsidR="003B25C9">
        <w:t xml:space="preserve">, </w:t>
      </w:r>
      <w:r w:rsidRPr="00CE5397">
        <w:rPr>
          <w:rStyle w:val="rynqvb"/>
          <w:rFonts w:eastAsia="Georgia"/>
          <w:lang w:val="sq-AL"/>
        </w:rPr>
        <w:t>numri i rasteve për të cilat Komiteti i Ministrave mbylli mbikëqyrjen e ekzekutimit gjatë vitit 2024 ishte 18, në ndryshim nga viti 2023 kur ky numër ishte 16</w:t>
      </w:r>
      <w:r w:rsidR="003B25C9">
        <w:t xml:space="preserve">. </w:t>
      </w:r>
      <w:r w:rsidRPr="00CE5397">
        <w:rPr>
          <w:rStyle w:val="rynqvb"/>
          <w:rFonts w:eastAsia="Georgia"/>
          <w:lang w:val="sq-AL"/>
        </w:rPr>
        <w:t>Për listën e aktgjykimeve për të cilat është miratuar rezolutë përfundimtare nga Komiteti i Ministrave gjatë vitit 2024</w:t>
      </w:r>
      <w:r w:rsidRPr="00CE5397">
        <w:rPr>
          <w:lang w:val="sq-AL"/>
        </w:rPr>
        <w:t>, shih</w:t>
      </w:r>
      <w:r>
        <w:rPr>
          <w:lang w:val="sq-AL"/>
        </w:rPr>
        <w:t xml:space="preserve"> </w:t>
      </w:r>
      <w:r w:rsidRPr="00CE5397">
        <w:rPr>
          <w:b/>
          <w:bCs/>
          <w:u w:val="single"/>
          <w:lang w:val="sq-AL"/>
        </w:rPr>
        <w:t>Aneksi nr. 1</w:t>
      </w:r>
      <w:r w:rsidRPr="00CE5397">
        <w:rPr>
          <w:lang w:val="sq-AL"/>
        </w:rPr>
        <w:t xml:space="preserve">. </w:t>
      </w:r>
      <w:r w:rsidRPr="00CE5397">
        <w:rPr>
          <w:rStyle w:val="rynqvb"/>
          <w:rFonts w:eastAsia="Georgia"/>
          <w:lang w:val="sq-AL"/>
        </w:rPr>
        <w:t xml:space="preserve">Nga ky numër, një lëndë është kryesori nën mbikëqyrjen e përforcuar dhe një tjetër ishte kryesori në </w:t>
      </w:r>
      <w:r w:rsidRPr="00CE5397">
        <w:rPr>
          <w:lang w:val="sq-AL"/>
        </w:rPr>
        <w:t xml:space="preserve"> </w:t>
      </w:r>
      <w:r w:rsidRPr="00CE5397">
        <w:rPr>
          <w:lang w:val="sq-AL"/>
        </w:rPr>
        <w:lastRenderedPageBreak/>
        <w:t>mbikëqyrje standarde</w:t>
      </w:r>
      <w:r w:rsidR="003B25C9">
        <w:t>.</w:t>
      </w:r>
    </w:p>
    <w:p w:rsidR="00D65C97" w:rsidRDefault="00040AE3">
      <w:pPr>
        <w:pStyle w:val="Bodytext0"/>
        <w:spacing w:after="180"/>
        <w:jc w:val="both"/>
      </w:pPr>
      <w:r w:rsidRPr="00CE5397">
        <w:rPr>
          <w:rStyle w:val="rynqvb"/>
          <w:rFonts w:eastAsia="Georgia"/>
          <w:lang w:val="sq-AL"/>
        </w:rPr>
        <w:t>Gjatë vitit 2024, Byroja për Përfaqësimin të Republikës së Maqedonisë së Veriut ka përgatitur dhe dërguar Komitetit të Ministrave 10 plane veprimi dhe 2 raporte veprimi.</w:t>
      </w:r>
      <w:r>
        <w:rPr>
          <w:rStyle w:val="rynqvb"/>
          <w:rFonts w:eastAsia="Georgia"/>
          <w:lang w:val="sq-AL"/>
        </w:rPr>
        <w:t xml:space="preserve"> </w:t>
      </w:r>
      <w:r w:rsidRPr="00CE5397">
        <w:rPr>
          <w:lang w:val="sq-AL"/>
        </w:rPr>
        <w:t>Pë</w:t>
      </w:r>
      <w:r>
        <w:rPr>
          <w:lang w:val="sq-AL"/>
        </w:rPr>
        <w:t>r</w:t>
      </w:r>
      <w:r w:rsidRPr="00CE5397">
        <w:rPr>
          <w:lang w:val="sq-AL"/>
        </w:rPr>
        <w:t xml:space="preserve"> listën e këtyre lëndëve shih</w:t>
      </w:r>
      <w:r>
        <w:rPr>
          <w:lang w:val="sq-AL"/>
        </w:rPr>
        <w:t xml:space="preserve"> </w:t>
      </w:r>
      <w:r w:rsidRPr="00CE5397">
        <w:rPr>
          <w:b/>
          <w:bCs/>
          <w:u w:val="single"/>
          <w:lang w:val="sq-AL"/>
        </w:rPr>
        <w:t>Aneksi nr. 2</w:t>
      </w:r>
      <w:r w:rsidR="003B25C9">
        <w:t>.</w:t>
      </w:r>
    </w:p>
    <w:p w:rsidR="00D65C97" w:rsidRDefault="00040AE3">
      <w:pPr>
        <w:pStyle w:val="Bodytext0"/>
        <w:spacing w:after="180"/>
        <w:jc w:val="both"/>
      </w:pPr>
      <w:r w:rsidRPr="00CE5397">
        <w:rPr>
          <w:rStyle w:val="rynqvb"/>
          <w:rFonts w:eastAsia="Georgia"/>
          <w:lang w:val="sq-AL"/>
        </w:rPr>
        <w:t>Numri i çështjeve në ekzekutim nën mbikëqyrjen e Komitetit të Ministrave në fund të vitit 2024 ishte 31. Numri i çështjeve të reja të cilat ishin vënë nën mbikëqyrjen e Komitetit të Ministrave në vitin 2024 ishte 16, në ndryshim nga numri në 2023 kur ishte 20, në vitin 2022 kur ishte 10 ose në vitin 2021 kur përsëri ishte 20.</w:t>
      </w:r>
      <w:r>
        <w:rPr>
          <w:rStyle w:val="rynqvb"/>
          <w:rFonts w:eastAsia="Georgia"/>
          <w:lang w:val="sq-AL"/>
        </w:rPr>
        <w:t xml:space="preserve"> </w:t>
      </w:r>
      <w:r w:rsidRPr="00CE5397">
        <w:rPr>
          <w:rStyle w:val="rynqvb"/>
          <w:rFonts w:eastAsia="Georgia"/>
          <w:lang w:val="sq-AL"/>
        </w:rPr>
        <w:t>Nga “rastet e reja” apo rastet që janë vënë nën mbikëqyrjen e Komitetit të Ministrave gjatë vitit 2024, 7 janë kryesore dhe 4 janë klasifikuar si raste të përsëritura. Nga numri total prej 31 lëndësh nën mbikëqyrjen e Komitetit të Ministrave në fund të vitit 2024, 18 janë klasifikuar si kryesore, nga të cilat 3 janë nën mbikëqyrje të zgjeruar dhe 15 që janë klasifikuar si kryesore janë nën mbikëqyrje standarde.</w:t>
      </w:r>
      <w:r>
        <w:rPr>
          <w:rStyle w:val="rynqvb"/>
          <w:rFonts w:eastAsia="Georgia"/>
          <w:lang w:val="sq-AL"/>
        </w:rPr>
        <w:t xml:space="preserve"> </w:t>
      </w:r>
      <w:r w:rsidRPr="00CE5397">
        <w:rPr>
          <w:rStyle w:val="rynqvb"/>
          <w:rFonts w:eastAsia="Georgia"/>
          <w:lang w:val="sq-AL"/>
        </w:rPr>
        <w:t>Për listën e çështjeve kryesore në ekzekutim nën mbikëqyrjen e Komitetit të Ministrave, shih më shumë në</w:t>
      </w:r>
      <w:r w:rsidRPr="00CE5397">
        <w:rPr>
          <w:b/>
          <w:bCs/>
          <w:u w:val="single"/>
          <w:lang w:val="sq-AL"/>
        </w:rPr>
        <w:t xml:space="preserve"> Aneksi nr. 3</w:t>
      </w:r>
      <w:r w:rsidR="003B25C9">
        <w:rPr>
          <w:b/>
          <w:bCs/>
          <w:u w:val="single"/>
        </w:rPr>
        <w:t>.</w:t>
      </w:r>
    </w:p>
    <w:p w:rsidR="00D65C97" w:rsidRDefault="00040AE3">
      <w:pPr>
        <w:pStyle w:val="Bodytext0"/>
        <w:spacing w:after="0"/>
        <w:jc w:val="both"/>
        <w:sectPr w:rsidR="00D65C97">
          <w:footerReference w:type="even" r:id="rId10"/>
          <w:footerReference w:type="default" r:id="rId11"/>
          <w:pgSz w:w="11900" w:h="16840"/>
          <w:pgMar w:top="1158" w:right="1402" w:bottom="1692" w:left="1396" w:header="730" w:footer="3" w:gutter="0"/>
          <w:cols w:space="720"/>
          <w:noEndnote/>
          <w:docGrid w:linePitch="360"/>
        </w:sectPr>
      </w:pPr>
      <w:r w:rsidRPr="00CE5397">
        <w:rPr>
          <w:rStyle w:val="rynqvb"/>
          <w:rFonts w:eastAsia="Georgia"/>
          <w:lang w:val="sq-AL"/>
        </w:rPr>
        <w:t>Nga rastet kryesore nën mbikëqyrje të përforcuar, dy kanë qenë në proces ekzekutimi dhe nën mbikëqyrjen e Komitetit të Ministrave prej 5 ose më shumë vitesh.</w:t>
      </w:r>
      <w:r>
        <w:rPr>
          <w:rStyle w:val="rynqvb"/>
          <w:rFonts w:eastAsia="Georgia"/>
          <w:lang w:val="sq-AL"/>
        </w:rPr>
        <w:t xml:space="preserve"> </w:t>
      </w:r>
      <w:r w:rsidRPr="00CE5397">
        <w:rPr>
          <w:lang w:val="sq-AL"/>
        </w:rPr>
        <w:t xml:space="preserve">Bëhet fjalë për rastin </w:t>
      </w:r>
      <w:r w:rsidRPr="00040AE3">
        <w:rPr>
          <w:i/>
          <w:iCs/>
          <w:color w:val="auto"/>
        </w:rPr>
        <w:t>Kitanovski</w:t>
      </w:r>
      <w:r w:rsidR="003B25C9">
        <w:rPr>
          <w:i/>
          <w:iCs/>
          <w:vertAlign w:val="superscript"/>
        </w:rPr>
        <w:footnoteReference w:id="3"/>
      </w:r>
      <w:r w:rsidR="003B25C9">
        <w:t xml:space="preserve"> </w:t>
      </w:r>
      <w:r w:rsidRPr="00CE5397">
        <w:rPr>
          <w:lang w:val="sq-AL"/>
        </w:rPr>
        <w:t>i cili është kryesori në lidhje me grupin edhe të 7 aktgjykimeve</w:t>
      </w:r>
      <w:r>
        <w:rPr>
          <w:lang w:val="sq-AL"/>
        </w:rPr>
        <w:t xml:space="preserve"> </w:t>
      </w:r>
      <w:r w:rsidRPr="00CE5397">
        <w:rPr>
          <w:rStyle w:val="rynqvb"/>
          <w:rFonts w:eastAsia="Georgia"/>
          <w:lang w:val="sq-AL"/>
        </w:rPr>
        <w:t>me të cilat është konstatuar shkelje e</w:t>
      </w:r>
      <w:r>
        <w:rPr>
          <w:rStyle w:val="rynqvb"/>
          <w:rFonts w:eastAsia="Georgia"/>
          <w:lang w:val="sq-AL"/>
        </w:rPr>
        <w:t xml:space="preserve"> </w:t>
      </w:r>
      <w:r w:rsidRPr="00CE5397">
        <w:rPr>
          <w:rStyle w:val="rynqvb"/>
          <w:rFonts w:eastAsia="Georgia"/>
          <w:lang w:val="sq-AL"/>
        </w:rPr>
        <w:t>Nenit 2 përkatësisht 3 të KEDNJ-së, veçanërisht për shkak të mungesës së një hetimi efektiv për pretendimet për trajtim çnjerëzor nga policia</w:t>
      </w:r>
      <w:r w:rsidR="003B25C9">
        <w:t xml:space="preserve">. </w:t>
      </w:r>
      <w:r>
        <w:t xml:space="preserve">Rasti tjetër është </w:t>
      </w:r>
      <w:r w:rsidR="003B25C9" w:rsidRPr="00040AE3">
        <w:rPr>
          <w:i/>
          <w:iCs/>
          <w:color w:val="auto"/>
        </w:rPr>
        <w:t>X</w:t>
      </w:r>
      <w:r w:rsidR="003B25C9">
        <w:rPr>
          <w:sz w:val="16"/>
          <w:szCs w:val="16"/>
          <w:vertAlign w:val="superscript"/>
        </w:rPr>
        <w:footnoteReference w:id="4"/>
      </w:r>
      <w:r w:rsidR="003B25C9">
        <w:rPr>
          <w:i/>
          <w:iCs/>
        </w:rPr>
        <w:t>,</w:t>
      </w:r>
      <w:r w:rsidR="003B25C9">
        <w:t xml:space="preserve"> </w:t>
      </w:r>
      <w:r w:rsidRPr="00CE5397">
        <w:rPr>
          <w:rStyle w:val="rynqvb"/>
          <w:rFonts w:eastAsia="Georgia"/>
          <w:lang w:val="sq-AL"/>
        </w:rPr>
        <w:t xml:space="preserve">në të cilin mungesa e legjislacionit që do të rregullonte procedurën dhe kushtet për ndryshimin e emërtimit gjinor në gjendjen </w:t>
      </w:r>
      <w:r>
        <w:rPr>
          <w:rStyle w:val="rynqvb"/>
          <w:rFonts w:eastAsia="Georgia"/>
          <w:lang w:val="sq-AL"/>
        </w:rPr>
        <w:t>civile të personave transgjinor</w:t>
      </w:r>
      <w:r w:rsidRPr="00CE5397">
        <w:rPr>
          <w:rStyle w:val="rynqvb"/>
          <w:rFonts w:eastAsia="Georgia"/>
          <w:lang w:val="sq-AL"/>
        </w:rPr>
        <w:t xml:space="preserve"> është pengesë për zbatimin e masave të përgjithshme</w:t>
      </w:r>
      <w:r w:rsidR="003B25C9">
        <w:t xml:space="preserve">. </w:t>
      </w:r>
      <w:r w:rsidRPr="00CE5397">
        <w:rPr>
          <w:rStyle w:val="rynqvb"/>
          <w:rFonts w:eastAsia="Georgia"/>
          <w:lang w:val="sq-AL"/>
        </w:rPr>
        <w:t>Në mënyrë të ngjashme, 2 nga çështjet kryesore sipas Standardeve të Monitorimit të Komitetit të Ministrave kanë qenë në pritje për 5 ose më shumë vite.</w:t>
      </w:r>
      <w:r>
        <w:rPr>
          <w:rStyle w:val="rynqvb"/>
          <w:rFonts w:eastAsia="Georgia"/>
          <w:lang w:val="sq-AL"/>
        </w:rPr>
        <w:t xml:space="preserve"> </w:t>
      </w:r>
      <w:r w:rsidRPr="00CE5397">
        <w:rPr>
          <w:rStyle w:val="rynqvb"/>
          <w:rFonts w:eastAsia="Georgia"/>
          <w:lang w:val="sq-AL"/>
        </w:rPr>
        <w:t xml:space="preserve">Bëhet fjalë për rastin </w:t>
      </w:r>
      <w:r w:rsidRPr="00040AE3">
        <w:rPr>
          <w:i/>
          <w:iCs/>
          <w:color w:val="auto"/>
        </w:rPr>
        <w:t>Vasilkovski dhe të tjerë</w:t>
      </w:r>
      <w:r w:rsidR="003B25C9">
        <w:rPr>
          <w:i/>
          <w:iCs/>
        </w:rPr>
        <w:t>.</w:t>
      </w:r>
      <w:r w:rsidR="003B25C9">
        <w:rPr>
          <w:i/>
          <w:iCs/>
          <w:vertAlign w:val="superscript"/>
        </w:rPr>
        <w:footnoteReference w:id="5"/>
      </w:r>
      <w:r w:rsidR="003B25C9">
        <w:t xml:space="preserve">, </w:t>
      </w:r>
      <w:r w:rsidRPr="00CE5397">
        <w:rPr>
          <w:rStyle w:val="rynqvb"/>
          <w:rFonts w:eastAsia="Georgia"/>
          <w:lang w:val="sq-AL"/>
        </w:rPr>
        <w:t>i cili është kryesor në një grup në rritje të lëndëve në lidhje me Nenin 5 të KEDNJ-së i cili garanton të drejtën për liri dhe siguri (rastet e paraburgimit</w:t>
      </w:r>
      <w:r w:rsidR="003B25C9">
        <w:t xml:space="preserve">). </w:t>
      </w:r>
      <w:r>
        <w:t>Tjetri</w:t>
      </w:r>
      <w:r w:rsidR="003B25C9">
        <w:t xml:space="preserve">, </w:t>
      </w:r>
      <w:r>
        <w:t>rasti</w:t>
      </w:r>
      <w:r w:rsidR="003B25C9">
        <w:t xml:space="preserve"> </w:t>
      </w:r>
      <w:r>
        <w:rPr>
          <w:i/>
          <w:iCs/>
        </w:rPr>
        <w:t>Mitovi</w:t>
      </w:r>
      <w:r w:rsidR="003B25C9">
        <w:rPr>
          <w:i/>
          <w:iCs/>
          <w:vertAlign w:val="superscript"/>
        </w:rPr>
        <w:footnoteReference w:id="6"/>
      </w:r>
      <w:r w:rsidR="003B25C9">
        <w:t xml:space="preserve"> </w:t>
      </w:r>
      <w:r w:rsidRPr="00CE5397">
        <w:rPr>
          <w:rStyle w:val="rynqvb"/>
          <w:rFonts w:eastAsia="Georgia"/>
          <w:lang w:val="sq-AL"/>
        </w:rPr>
        <w:t>supozon ndryshime në legjislacionin vendas kryesisht në fushën e së drejtës familjare, veçanërisht në pjesën që ka të bëjë me zbatimin e vendimeve për shikimin e fëmijëve</w:t>
      </w:r>
      <w:r w:rsidR="003B25C9">
        <w:t>.</w:t>
      </w:r>
    </w:p>
    <w:p w:rsidR="00404294" w:rsidRPr="00CE5397" w:rsidRDefault="00404294" w:rsidP="00404294">
      <w:pPr>
        <w:pStyle w:val="BodyText1"/>
        <w:framePr w:w="7579" w:h="235" w:wrap="none" w:hAnchor="page" w:x="2152" w:y="103"/>
        <w:spacing w:after="0" w:line="240" w:lineRule="auto"/>
        <w:jc w:val="center"/>
        <w:rPr>
          <w:sz w:val="24"/>
          <w:szCs w:val="24"/>
          <w:lang w:val="sq-AL"/>
        </w:rPr>
      </w:pPr>
      <w:bookmarkStart w:id="14" w:name="bookmark31"/>
      <w:r w:rsidRPr="00CE5397">
        <w:rPr>
          <w:b/>
          <w:bCs/>
          <w:sz w:val="24"/>
          <w:szCs w:val="24"/>
          <w:lang w:val="sq-AL"/>
        </w:rPr>
        <w:lastRenderedPageBreak/>
        <w:t xml:space="preserve">KOMITETIT TË MINISTRAVE </w:t>
      </w:r>
    </w:p>
    <w:p w:rsidR="00404294" w:rsidRPr="00404294" w:rsidRDefault="00404294" w:rsidP="00404294">
      <w:pPr>
        <w:pStyle w:val="Heading20"/>
        <w:keepNext/>
        <w:keepLines/>
        <w:framePr w:w="3422" w:h="418" w:wrap="none" w:hAnchor="page" w:x="4235" w:y="5680"/>
        <w:spacing w:after="0"/>
        <w:rPr>
          <w:lang w:val="sq-AL"/>
        </w:rPr>
      </w:pPr>
      <w:bookmarkStart w:id="15" w:name="bookmark39"/>
      <w:bookmarkEnd w:id="14"/>
      <w:r w:rsidRPr="00404294">
        <w:rPr>
          <w:lang w:val="sq-AL"/>
        </w:rPr>
        <w:t xml:space="preserve">Lëndë të përsëritura </w:t>
      </w:r>
      <w:bookmarkEnd w:id="15"/>
    </w:p>
    <w:p w:rsidR="00D65C97" w:rsidRDefault="003B25C9">
      <w:pPr>
        <w:spacing w:line="360" w:lineRule="exact"/>
      </w:pPr>
      <w:r>
        <w:rPr>
          <w:noProof/>
          <w:lang w:bidi="ar-SA"/>
        </w:rPr>
        <w:drawing>
          <wp:anchor distT="0" distB="0" distL="0" distR="0" simplePos="0" relativeHeight="62914700" behindDoc="1" locked="0" layoutInCell="1" allowOverlap="1">
            <wp:simplePos x="0" y="0"/>
            <wp:positionH relativeFrom="page">
              <wp:posOffset>1923415</wp:posOffset>
            </wp:positionH>
            <wp:positionV relativeFrom="margin">
              <wp:posOffset>817245</wp:posOffset>
            </wp:positionV>
            <wp:extent cx="3602990" cy="1974850"/>
            <wp:effectExtent l="0" t="0" r="0" b="0"/>
            <wp:wrapNone/>
            <wp:docPr id="12" name="Shape 12"/>
            <wp:cNvGraphicFramePr/>
            <a:graphic xmlns:a="http://schemas.openxmlformats.org/drawingml/2006/main">
              <a:graphicData uri="http://schemas.openxmlformats.org/drawingml/2006/picture">
                <pic:pic xmlns:pic="http://schemas.openxmlformats.org/drawingml/2006/picture">
                  <pic:nvPicPr>
                    <pic:cNvPr id="13" name="Picture box 13"/>
                    <pic:cNvPicPr/>
                  </pic:nvPicPr>
                  <pic:blipFill>
                    <a:blip r:embed="rId12"/>
                    <a:stretch/>
                  </pic:blipFill>
                  <pic:spPr>
                    <a:xfrm>
                      <a:off x="0" y="0"/>
                      <a:ext cx="3602990" cy="1974850"/>
                    </a:xfrm>
                    <a:prstGeom prst="rect">
                      <a:avLst/>
                    </a:prstGeom>
                  </pic:spPr>
                </pic:pic>
              </a:graphicData>
            </a:graphic>
          </wp:anchor>
        </w:drawing>
      </w:r>
      <w:r>
        <w:rPr>
          <w:noProof/>
          <w:lang w:bidi="ar-SA"/>
        </w:rPr>
        <w:drawing>
          <wp:anchor distT="0" distB="0" distL="0" distR="0" simplePos="0" relativeHeight="62914701" behindDoc="1" locked="0" layoutInCell="1" allowOverlap="1">
            <wp:simplePos x="0" y="0"/>
            <wp:positionH relativeFrom="page">
              <wp:posOffset>1926590</wp:posOffset>
            </wp:positionH>
            <wp:positionV relativeFrom="margin">
              <wp:posOffset>3971925</wp:posOffset>
            </wp:positionV>
            <wp:extent cx="3602990" cy="1852930"/>
            <wp:effectExtent l="0" t="0" r="0" b="0"/>
            <wp:wrapNone/>
            <wp:docPr id="14" name="Shape 14"/>
            <wp:cNvGraphicFramePr/>
            <a:graphic xmlns:a="http://schemas.openxmlformats.org/drawingml/2006/main">
              <a:graphicData uri="http://schemas.openxmlformats.org/drawingml/2006/picture">
                <pic:pic xmlns:pic="http://schemas.openxmlformats.org/drawingml/2006/picture">
                  <pic:nvPicPr>
                    <pic:cNvPr id="15" name="Picture box 15"/>
                    <pic:cNvPicPr/>
                  </pic:nvPicPr>
                  <pic:blipFill>
                    <a:blip r:embed="rId13"/>
                    <a:stretch/>
                  </pic:blipFill>
                  <pic:spPr>
                    <a:xfrm>
                      <a:off x="0" y="0"/>
                      <a:ext cx="3602990" cy="1852930"/>
                    </a:xfrm>
                    <a:prstGeom prst="rect">
                      <a:avLst/>
                    </a:prstGeom>
                  </pic:spPr>
                </pic:pic>
              </a:graphicData>
            </a:graphic>
          </wp:anchor>
        </w:drawing>
      </w: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after="426" w:line="1" w:lineRule="exact"/>
      </w:pPr>
    </w:p>
    <w:p w:rsidR="00D65C97" w:rsidRDefault="00D65C97">
      <w:pPr>
        <w:spacing w:line="1" w:lineRule="exact"/>
        <w:sectPr w:rsidR="00D65C97">
          <w:headerReference w:type="even" r:id="rId14"/>
          <w:headerReference w:type="default" r:id="rId15"/>
          <w:footerReference w:type="even" r:id="rId16"/>
          <w:footerReference w:type="default" r:id="rId17"/>
          <w:pgSz w:w="11900" w:h="16840"/>
          <w:pgMar w:top="1714" w:right="2170" w:bottom="1714" w:left="2151" w:header="0" w:footer="3" w:gutter="0"/>
          <w:cols w:space="720"/>
          <w:noEndnote/>
          <w:docGrid w:linePitch="360"/>
        </w:sectPr>
      </w:pPr>
    </w:p>
    <w:p w:rsidR="00404294" w:rsidRPr="00CE5397" w:rsidRDefault="00404294" w:rsidP="00404294">
      <w:pPr>
        <w:pStyle w:val="BodyText1"/>
        <w:spacing w:after="540"/>
        <w:jc w:val="center"/>
        <w:rPr>
          <w:sz w:val="24"/>
          <w:szCs w:val="24"/>
          <w:lang w:val="sq-AL"/>
        </w:rPr>
      </w:pPr>
      <w:r w:rsidRPr="00CE5397">
        <w:rPr>
          <w:b/>
          <w:bCs/>
          <w:sz w:val="24"/>
          <w:szCs w:val="24"/>
          <w:lang w:val="sq-AL"/>
        </w:rPr>
        <w:lastRenderedPageBreak/>
        <w:t xml:space="preserve">LËNDË PËR TË CILAT KOMITETI I MINISTRAVE SOLLI REZOLUTË PËRFUNDIMTARE DHE MBYLLI MBIKËQYRJEN MBI EKZEKUTIMIN </w:t>
      </w:r>
    </w:p>
    <w:p w:rsidR="00D65C97" w:rsidRDefault="003B25C9">
      <w:pPr>
        <w:jc w:val="center"/>
        <w:rPr>
          <w:sz w:val="2"/>
          <w:szCs w:val="2"/>
        </w:rPr>
      </w:pPr>
      <w:r>
        <w:rPr>
          <w:noProof/>
          <w:lang w:bidi="ar-SA"/>
        </w:rPr>
        <w:drawing>
          <wp:inline distT="0" distB="0" distL="0" distR="0">
            <wp:extent cx="3602990" cy="1974850"/>
            <wp:effectExtent l="0" t="0" r="0" b="0"/>
            <wp:docPr id="24" name="Picutre 24"/>
            <wp:cNvGraphicFramePr/>
            <a:graphic xmlns:a="http://schemas.openxmlformats.org/drawingml/2006/main">
              <a:graphicData uri="http://schemas.openxmlformats.org/drawingml/2006/picture">
                <pic:pic xmlns:pic="http://schemas.openxmlformats.org/drawingml/2006/picture">
                  <pic:nvPicPr>
                    <pic:cNvPr id="24" name="Picture 24"/>
                    <pic:cNvPicPr/>
                  </pic:nvPicPr>
                  <pic:blipFill>
                    <a:blip r:embed="rId18"/>
                    <a:stretch/>
                  </pic:blipFill>
                  <pic:spPr>
                    <a:xfrm>
                      <a:off x="0" y="0"/>
                      <a:ext cx="3602990" cy="1974850"/>
                    </a:xfrm>
                    <a:prstGeom prst="rect">
                      <a:avLst/>
                    </a:prstGeom>
                  </pic:spPr>
                </pic:pic>
              </a:graphicData>
            </a:graphic>
          </wp:inline>
        </w:drawing>
      </w:r>
    </w:p>
    <w:p w:rsidR="00D65C97" w:rsidRDefault="00D65C97">
      <w:pPr>
        <w:spacing w:after="1259" w:line="1" w:lineRule="exact"/>
      </w:pPr>
    </w:p>
    <w:p w:rsidR="00D65C97" w:rsidRDefault="00D65C97">
      <w:pPr>
        <w:spacing w:line="1" w:lineRule="exact"/>
      </w:pPr>
    </w:p>
    <w:p w:rsidR="00D65C97" w:rsidRDefault="003B25C9">
      <w:pPr>
        <w:jc w:val="center"/>
        <w:rPr>
          <w:sz w:val="2"/>
          <w:szCs w:val="2"/>
        </w:rPr>
        <w:sectPr w:rsidR="00D65C97">
          <w:headerReference w:type="even" r:id="rId19"/>
          <w:headerReference w:type="default" r:id="rId20"/>
          <w:footerReference w:type="even" r:id="rId21"/>
          <w:footerReference w:type="default" r:id="rId22"/>
          <w:pgSz w:w="11900" w:h="16840"/>
          <w:pgMar w:top="1753" w:right="1748" w:bottom="1753" w:left="1724" w:header="0" w:footer="3" w:gutter="0"/>
          <w:cols w:space="720"/>
          <w:noEndnote/>
          <w:docGrid w:linePitch="360"/>
        </w:sectPr>
      </w:pPr>
      <w:r>
        <w:rPr>
          <w:noProof/>
          <w:lang w:bidi="ar-SA"/>
        </w:rPr>
        <w:drawing>
          <wp:inline distT="0" distB="0" distL="0" distR="0">
            <wp:extent cx="3608705" cy="1962785"/>
            <wp:effectExtent l="0" t="0" r="0" b="0"/>
            <wp:docPr id="31" name="Picutre 31"/>
            <wp:cNvGraphicFramePr/>
            <a:graphic xmlns:a="http://schemas.openxmlformats.org/drawingml/2006/main">
              <a:graphicData uri="http://schemas.openxmlformats.org/drawingml/2006/picture">
                <pic:pic xmlns:pic="http://schemas.openxmlformats.org/drawingml/2006/picture">
                  <pic:nvPicPr>
                    <pic:cNvPr id="31" name="Picture 31"/>
                    <pic:cNvPicPr/>
                  </pic:nvPicPr>
                  <pic:blipFill>
                    <a:blip r:embed="rId23"/>
                    <a:stretch/>
                  </pic:blipFill>
                  <pic:spPr>
                    <a:xfrm>
                      <a:off x="0" y="0"/>
                      <a:ext cx="3608705" cy="1962785"/>
                    </a:xfrm>
                    <a:prstGeom prst="rect">
                      <a:avLst/>
                    </a:prstGeom>
                  </pic:spPr>
                </pic:pic>
              </a:graphicData>
            </a:graphic>
          </wp:inline>
        </w:drawing>
      </w:r>
    </w:p>
    <w:p w:rsidR="00404294" w:rsidRPr="00CE5397" w:rsidRDefault="00404294" w:rsidP="00404294">
      <w:pPr>
        <w:pStyle w:val="BodyText1"/>
        <w:framePr w:w="8189" w:h="235" w:wrap="none" w:hAnchor="page" w:x="2161" w:y="103"/>
        <w:spacing w:after="0" w:line="240" w:lineRule="auto"/>
        <w:jc w:val="center"/>
        <w:rPr>
          <w:sz w:val="24"/>
          <w:szCs w:val="24"/>
          <w:lang w:val="sq-AL"/>
        </w:rPr>
      </w:pPr>
      <w:bookmarkStart w:id="16" w:name="bookmark33"/>
      <w:r w:rsidRPr="00CE5397">
        <w:rPr>
          <w:b/>
          <w:bCs/>
          <w:sz w:val="24"/>
          <w:szCs w:val="24"/>
          <w:lang w:val="sq-AL"/>
        </w:rPr>
        <w:lastRenderedPageBreak/>
        <w:t xml:space="preserve">KOMITETIT TË MINISTRAVE </w:t>
      </w:r>
    </w:p>
    <w:p w:rsidR="00404294" w:rsidRPr="00404294" w:rsidRDefault="00404294" w:rsidP="00404294">
      <w:pPr>
        <w:pStyle w:val="Heading20"/>
        <w:keepNext/>
        <w:keepLines/>
        <w:framePr w:w="3432" w:h="418" w:wrap="none" w:hAnchor="page" w:x="4743" w:y="5435"/>
        <w:spacing w:after="0"/>
        <w:rPr>
          <w:lang w:val="sq-AL"/>
        </w:rPr>
      </w:pPr>
      <w:bookmarkStart w:id="17" w:name="bookmark41"/>
      <w:bookmarkEnd w:id="16"/>
      <w:r w:rsidRPr="00404294">
        <w:rPr>
          <w:lang w:val="sq-AL"/>
        </w:rPr>
        <w:t xml:space="preserve">Lëndë të përsëritura </w:t>
      </w:r>
      <w:bookmarkEnd w:id="17"/>
    </w:p>
    <w:p w:rsidR="00D65C97" w:rsidRDefault="003B25C9">
      <w:pPr>
        <w:spacing w:line="360" w:lineRule="exact"/>
      </w:pPr>
      <w:r>
        <w:rPr>
          <w:noProof/>
          <w:lang w:bidi="ar-SA"/>
        </w:rPr>
        <w:drawing>
          <wp:anchor distT="0" distB="0" distL="0" distR="0" simplePos="0" relativeHeight="62914716" behindDoc="1" locked="0" layoutInCell="1" allowOverlap="1">
            <wp:simplePos x="0" y="0"/>
            <wp:positionH relativeFrom="page">
              <wp:posOffset>2301240</wp:posOffset>
            </wp:positionH>
            <wp:positionV relativeFrom="margin">
              <wp:posOffset>695325</wp:posOffset>
            </wp:positionV>
            <wp:extent cx="3547745" cy="1974850"/>
            <wp:effectExtent l="0" t="0" r="0" b="0"/>
            <wp:wrapNone/>
            <wp:docPr id="32" name="Shape 32"/>
            <wp:cNvGraphicFramePr/>
            <a:graphic xmlns:a="http://schemas.openxmlformats.org/drawingml/2006/main">
              <a:graphicData uri="http://schemas.openxmlformats.org/drawingml/2006/picture">
                <pic:pic xmlns:pic="http://schemas.openxmlformats.org/drawingml/2006/picture">
                  <pic:nvPicPr>
                    <pic:cNvPr id="33" name="Picture box 33"/>
                    <pic:cNvPicPr/>
                  </pic:nvPicPr>
                  <pic:blipFill>
                    <a:blip r:embed="rId24"/>
                    <a:stretch/>
                  </pic:blipFill>
                  <pic:spPr>
                    <a:xfrm>
                      <a:off x="0" y="0"/>
                      <a:ext cx="3547745" cy="1974850"/>
                    </a:xfrm>
                    <a:prstGeom prst="rect">
                      <a:avLst/>
                    </a:prstGeom>
                  </pic:spPr>
                </pic:pic>
              </a:graphicData>
            </a:graphic>
          </wp:anchor>
        </w:drawing>
      </w:r>
      <w:r>
        <w:rPr>
          <w:noProof/>
          <w:lang w:bidi="ar-SA"/>
        </w:rPr>
        <w:drawing>
          <wp:anchor distT="0" distB="0" distL="0" distR="0" simplePos="0" relativeHeight="62914717" behindDoc="1" locked="0" layoutInCell="1" allowOverlap="1">
            <wp:simplePos x="0" y="0"/>
            <wp:positionH relativeFrom="page">
              <wp:posOffset>2245995</wp:posOffset>
            </wp:positionH>
            <wp:positionV relativeFrom="margin">
              <wp:posOffset>3819525</wp:posOffset>
            </wp:positionV>
            <wp:extent cx="3602990" cy="1852930"/>
            <wp:effectExtent l="0" t="0" r="0" b="0"/>
            <wp:wrapNone/>
            <wp:docPr id="34" name="Shape 34"/>
            <wp:cNvGraphicFramePr/>
            <a:graphic xmlns:a="http://schemas.openxmlformats.org/drawingml/2006/main">
              <a:graphicData uri="http://schemas.openxmlformats.org/drawingml/2006/picture">
                <pic:pic xmlns:pic="http://schemas.openxmlformats.org/drawingml/2006/picture">
                  <pic:nvPicPr>
                    <pic:cNvPr id="35" name="Picture box 35"/>
                    <pic:cNvPicPr/>
                  </pic:nvPicPr>
                  <pic:blipFill>
                    <a:blip r:embed="rId25"/>
                    <a:stretch/>
                  </pic:blipFill>
                  <pic:spPr>
                    <a:xfrm>
                      <a:off x="0" y="0"/>
                      <a:ext cx="3602990" cy="1852930"/>
                    </a:xfrm>
                    <a:prstGeom prst="rect">
                      <a:avLst/>
                    </a:prstGeom>
                  </pic:spPr>
                </pic:pic>
              </a:graphicData>
            </a:graphic>
          </wp:anchor>
        </w:drawing>
      </w: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line="360" w:lineRule="exact"/>
      </w:pPr>
    </w:p>
    <w:p w:rsidR="00D65C97" w:rsidRDefault="00D65C97">
      <w:pPr>
        <w:spacing w:after="546" w:line="1" w:lineRule="exact"/>
      </w:pPr>
    </w:p>
    <w:p w:rsidR="00D65C97" w:rsidRDefault="00D65C97">
      <w:pPr>
        <w:spacing w:line="1" w:lineRule="exact"/>
        <w:sectPr w:rsidR="00D65C97">
          <w:pgSz w:w="11900" w:h="16840"/>
          <w:pgMar w:top="1795" w:right="1552" w:bottom="1781" w:left="2160" w:header="0" w:footer="3" w:gutter="0"/>
          <w:cols w:space="720"/>
          <w:noEndnote/>
          <w:docGrid w:linePitch="360"/>
        </w:sectPr>
      </w:pPr>
    </w:p>
    <w:p w:rsidR="00D65C97" w:rsidRDefault="003020A0">
      <w:pPr>
        <w:pStyle w:val="Heading30"/>
        <w:keepNext/>
        <w:keepLines/>
        <w:numPr>
          <w:ilvl w:val="0"/>
          <w:numId w:val="1"/>
        </w:numPr>
        <w:tabs>
          <w:tab w:val="left" w:pos="750"/>
        </w:tabs>
        <w:ind w:left="760" w:hanging="360"/>
        <w:jc w:val="both"/>
      </w:pPr>
      <w:bookmarkStart w:id="18" w:name="bookmark35"/>
      <w:r w:rsidRPr="00CE5397">
        <w:rPr>
          <w:lang w:val="sq-AL"/>
        </w:rPr>
        <w:lastRenderedPageBreak/>
        <w:t>Implikime fiskale për Buxhetin e RMV-së para GJEDNJ-së në bazë të mjeteve financiare të gjykuara me aktgjykime dhe vendime të GJEDNJ-së</w:t>
      </w:r>
      <w:r>
        <w:t xml:space="preserve"> </w:t>
      </w:r>
      <w:bookmarkEnd w:id="18"/>
    </w:p>
    <w:p w:rsidR="00D65C97" w:rsidRDefault="007438BB">
      <w:pPr>
        <w:pStyle w:val="Bodytext0"/>
        <w:spacing w:after="960"/>
        <w:jc w:val="both"/>
      </w:pPr>
      <w:r w:rsidRPr="00CE5397">
        <w:rPr>
          <w:rStyle w:val="rynqvb"/>
          <w:rFonts w:eastAsia="Georgia"/>
          <w:lang w:val="sq-AL"/>
        </w:rPr>
        <w:t xml:space="preserve">Gjatë vitit 2024, shuma e mjeteve të akorduara për të gjitha bazat nga GJEDNJ-ja (aktgjykime që konstatojnë shkelje të KEDNJ-së, vendime për zgjidhje miqësore të çështjeve dhe vendime të miratuara në bazë të një deklarate të njëanshme, përkatësisht njohja e shkeljeve të KEDNJ-së) është në total </w:t>
      </w:r>
      <w:r w:rsidRPr="00CE5397">
        <w:rPr>
          <w:b/>
          <w:bCs/>
          <w:lang w:val="sq-AL"/>
        </w:rPr>
        <w:t>2.191.889,00</w:t>
      </w:r>
      <w:r>
        <w:rPr>
          <w:b/>
          <w:bCs/>
          <w:lang w:val="sq-AL"/>
        </w:rPr>
        <w:t xml:space="preserve"> </w:t>
      </w:r>
      <w:r w:rsidRPr="00CE5397">
        <w:rPr>
          <w:b/>
          <w:bCs/>
          <w:lang w:val="sq-AL"/>
        </w:rPr>
        <w:t xml:space="preserve">€ </w:t>
      </w:r>
      <w:r w:rsidRPr="00CE5397">
        <w:rPr>
          <w:rStyle w:val="rynqvb"/>
          <w:rFonts w:eastAsia="Georgia"/>
          <w:lang w:val="sq-AL"/>
        </w:rPr>
        <w:t xml:space="preserve">dhe </w:t>
      </w:r>
      <w:r>
        <w:rPr>
          <w:rStyle w:val="rynqvb"/>
          <w:rFonts w:eastAsia="Georgia"/>
          <w:lang w:val="sq-AL"/>
        </w:rPr>
        <w:t>përbën</w:t>
      </w:r>
      <w:r w:rsidRPr="00CE5397">
        <w:rPr>
          <w:rStyle w:val="rynqvb"/>
          <w:rFonts w:eastAsia="Georgia"/>
          <w:lang w:val="sq-AL"/>
        </w:rPr>
        <w:t xml:space="preserve"> rritje të konsiderueshme në krahasim me shumën e parave të akorduara nga GJEDNJ-ja në vitet e mëparshme, ose shumën më të lartë të krahasuar ndonjëherë në 10 vitet e fundit, duke e bërë atë një shumë rekord të parave të akorduara nga GJEDNJ-ja në rastet kundër shtetit deri më tani</w:t>
      </w:r>
      <w:r w:rsidRPr="00CE5397">
        <w:rPr>
          <w:lang w:val="sq-AL"/>
        </w:rPr>
        <w:t xml:space="preserve">. </w:t>
      </w:r>
      <w:r w:rsidRPr="00CE5397">
        <w:rPr>
          <w:rStyle w:val="rynqvb"/>
          <w:rFonts w:eastAsia="Georgia"/>
          <w:lang w:val="sq-AL"/>
        </w:rPr>
        <w:t>Në një rast është vërejtur vonesë në pagesë</w:t>
      </w:r>
      <w:r w:rsidR="003B25C9">
        <w:t>.</w:t>
      </w:r>
    </w:p>
    <w:p w:rsidR="007438BB" w:rsidRPr="007438BB" w:rsidRDefault="007438BB" w:rsidP="007438BB">
      <w:pPr>
        <w:pStyle w:val="Heading20"/>
        <w:keepNext/>
        <w:keepLines/>
        <w:rPr>
          <w:lang w:val="sq-AL"/>
        </w:rPr>
      </w:pPr>
      <w:r w:rsidRPr="007438BB">
        <w:rPr>
          <w:lang w:val="sq-AL"/>
        </w:rPr>
        <w:t>Shuma e përgjithshme e</w:t>
      </w:r>
      <w:r w:rsidR="00633523" w:rsidRPr="007438BB">
        <w:rPr>
          <w:lang w:val="sq-AL"/>
        </w:rPr>
        <w:t xml:space="preserve"> </w:t>
      </w:r>
      <w:r w:rsidR="00633523">
        <w:rPr>
          <w:lang w:val="sq-AL"/>
        </w:rPr>
        <w:t>akorduar</w:t>
      </w:r>
      <w:r w:rsidRPr="007438BB">
        <w:rPr>
          <w:lang w:val="sq-AL"/>
        </w:rPr>
        <w:t xml:space="preserve"> nga ana e Republikës së </w:t>
      </w:r>
      <w:r w:rsidRPr="007438BB">
        <w:rPr>
          <w:lang w:val="sq-AL"/>
        </w:rPr>
        <w:br/>
        <w:t>Maqedonisë së Veriut</w:t>
      </w:r>
    </w:p>
    <w:p w:rsidR="00D65C97" w:rsidRDefault="003B25C9">
      <w:pPr>
        <w:jc w:val="center"/>
        <w:rPr>
          <w:sz w:val="2"/>
          <w:szCs w:val="2"/>
        </w:rPr>
        <w:sectPr w:rsidR="00D65C97">
          <w:pgSz w:w="11900" w:h="16840"/>
          <w:pgMar w:top="1619" w:right="1109" w:bottom="1619" w:left="1369" w:header="0" w:footer="3" w:gutter="0"/>
          <w:cols w:space="720"/>
          <w:noEndnote/>
          <w:docGrid w:linePitch="360"/>
        </w:sectPr>
      </w:pPr>
      <w:r>
        <w:rPr>
          <w:noProof/>
          <w:lang w:bidi="ar-SA"/>
        </w:rPr>
        <w:drawing>
          <wp:inline distT="0" distB="0" distL="0" distR="0">
            <wp:extent cx="4425950" cy="1517650"/>
            <wp:effectExtent l="0" t="0" r="0" b="0"/>
            <wp:docPr id="36" name="Picutre 36"/>
            <wp:cNvGraphicFramePr/>
            <a:graphic xmlns:a="http://schemas.openxmlformats.org/drawingml/2006/main">
              <a:graphicData uri="http://schemas.openxmlformats.org/drawingml/2006/picture">
                <pic:pic xmlns:pic="http://schemas.openxmlformats.org/drawingml/2006/picture">
                  <pic:nvPicPr>
                    <pic:cNvPr id="36" name="Picture 36"/>
                    <pic:cNvPicPr/>
                  </pic:nvPicPr>
                  <pic:blipFill>
                    <a:blip r:embed="rId26"/>
                    <a:stretch/>
                  </pic:blipFill>
                  <pic:spPr>
                    <a:xfrm>
                      <a:off x="0" y="0"/>
                      <a:ext cx="4425950" cy="1517650"/>
                    </a:xfrm>
                    <a:prstGeom prst="rect">
                      <a:avLst/>
                    </a:prstGeom>
                  </pic:spPr>
                </pic:pic>
              </a:graphicData>
            </a:graphic>
          </wp:inline>
        </w:drawing>
      </w:r>
    </w:p>
    <w:p w:rsidR="00D65C97" w:rsidRDefault="00AF6295">
      <w:pPr>
        <w:pStyle w:val="Tablecaption0"/>
        <w:ind w:left="91"/>
      </w:pPr>
      <w:r>
        <w:lastRenderedPageBreak/>
        <w:t>ANEKSI NR</w:t>
      </w:r>
      <w:r w:rsidR="003B25C9">
        <w:t>. 1</w:t>
      </w:r>
    </w:p>
    <w:tbl>
      <w:tblPr>
        <w:tblOverlap w:val="never"/>
        <w:tblW w:w="0" w:type="auto"/>
        <w:jc w:val="center"/>
        <w:tblLayout w:type="fixed"/>
        <w:tblCellMar>
          <w:left w:w="10" w:type="dxa"/>
          <w:right w:w="10" w:type="dxa"/>
        </w:tblCellMar>
        <w:tblLook w:val="0000"/>
      </w:tblPr>
      <w:tblGrid>
        <w:gridCol w:w="480"/>
        <w:gridCol w:w="2530"/>
        <w:gridCol w:w="1800"/>
        <w:gridCol w:w="2069"/>
        <w:gridCol w:w="2611"/>
        <w:gridCol w:w="4694"/>
      </w:tblGrid>
      <w:tr w:rsidR="00D65C97">
        <w:trPr>
          <w:trHeight w:hRule="exact" w:val="888"/>
          <w:jc w:val="center"/>
        </w:trPr>
        <w:tc>
          <w:tcPr>
            <w:tcW w:w="14184" w:type="dxa"/>
            <w:gridSpan w:val="6"/>
            <w:tcBorders>
              <w:top w:val="single" w:sz="4" w:space="0" w:color="auto"/>
              <w:left w:val="single" w:sz="4" w:space="0" w:color="auto"/>
              <w:right w:val="single" w:sz="4" w:space="0" w:color="auto"/>
            </w:tcBorders>
            <w:shd w:val="clear" w:color="auto" w:fill="auto"/>
            <w:vAlign w:val="center"/>
          </w:tcPr>
          <w:p w:rsidR="00D65C97" w:rsidRDefault="00310BA6">
            <w:pPr>
              <w:pStyle w:val="Other0"/>
              <w:spacing w:after="0"/>
              <w:jc w:val="center"/>
              <w:rPr>
                <w:sz w:val="22"/>
                <w:szCs w:val="22"/>
              </w:rPr>
            </w:pPr>
            <w:r w:rsidRPr="00CE5397">
              <w:rPr>
                <w:b/>
                <w:bCs/>
                <w:lang w:val="sq-AL"/>
              </w:rPr>
              <w:t>AKTGJYKIME KUNDËR REPUBLIKËS SË MAQEDONISË SË VERIUT EKZEKUTIMI I TË CILAVE ËSHTË MBYLLUR ME REZOLUTA PËRFUNDIMTARE NGA KOMITETI I MINISTRAVE NË VITIN 2024</w:t>
            </w:r>
          </w:p>
        </w:tc>
      </w:tr>
      <w:tr w:rsidR="00310BA6">
        <w:trPr>
          <w:trHeight w:hRule="exact" w:val="1531"/>
          <w:jc w:val="center"/>
        </w:trPr>
        <w:tc>
          <w:tcPr>
            <w:tcW w:w="480" w:type="dxa"/>
            <w:tcBorders>
              <w:top w:val="single" w:sz="4" w:space="0" w:color="auto"/>
              <w:left w:val="single" w:sz="4" w:space="0" w:color="auto"/>
            </w:tcBorders>
            <w:shd w:val="clear" w:color="auto" w:fill="D4DDE4"/>
          </w:tcPr>
          <w:p w:rsidR="00310BA6" w:rsidRDefault="00310BA6">
            <w:pPr>
              <w:rPr>
                <w:sz w:val="10"/>
                <w:szCs w:val="10"/>
              </w:rPr>
            </w:pPr>
          </w:p>
        </w:tc>
        <w:tc>
          <w:tcPr>
            <w:tcW w:w="2530" w:type="dxa"/>
            <w:tcBorders>
              <w:top w:val="single" w:sz="4" w:space="0" w:color="auto"/>
              <w:left w:val="single" w:sz="4" w:space="0" w:color="auto"/>
            </w:tcBorders>
            <w:shd w:val="clear" w:color="auto" w:fill="D4DDE4"/>
            <w:vAlign w:val="center"/>
          </w:tcPr>
          <w:p w:rsidR="00310BA6" w:rsidRPr="00CE5397" w:rsidRDefault="00310BA6" w:rsidP="00C20371">
            <w:pPr>
              <w:pStyle w:val="Other0"/>
              <w:spacing w:after="0" w:line="240" w:lineRule="auto"/>
              <w:jc w:val="center"/>
              <w:rPr>
                <w:lang w:val="sq-AL"/>
              </w:rPr>
            </w:pPr>
            <w:r w:rsidRPr="00CE5397">
              <w:rPr>
                <w:b/>
                <w:bCs/>
                <w:lang w:val="sq-AL"/>
              </w:rPr>
              <w:t>LËNDA</w:t>
            </w:r>
          </w:p>
        </w:tc>
        <w:tc>
          <w:tcPr>
            <w:tcW w:w="1800" w:type="dxa"/>
            <w:tcBorders>
              <w:top w:val="single" w:sz="4" w:space="0" w:color="auto"/>
              <w:left w:val="single" w:sz="4" w:space="0" w:color="auto"/>
            </w:tcBorders>
            <w:shd w:val="clear" w:color="auto" w:fill="D4DDE4"/>
            <w:vAlign w:val="center"/>
          </w:tcPr>
          <w:p w:rsidR="00310BA6" w:rsidRPr="00CE5397" w:rsidRDefault="00310BA6" w:rsidP="00C20371">
            <w:pPr>
              <w:pStyle w:val="Other0"/>
              <w:spacing w:after="0"/>
              <w:jc w:val="center"/>
              <w:rPr>
                <w:lang w:val="sq-AL"/>
              </w:rPr>
            </w:pPr>
            <w:r w:rsidRPr="00CE5397">
              <w:rPr>
                <w:b/>
                <w:bCs/>
                <w:lang w:val="sq-AL"/>
              </w:rPr>
              <w:t>NUMRI I APLIKIMIT</w:t>
            </w:r>
          </w:p>
        </w:tc>
        <w:tc>
          <w:tcPr>
            <w:tcW w:w="2069" w:type="dxa"/>
            <w:tcBorders>
              <w:top w:val="single" w:sz="4" w:space="0" w:color="auto"/>
              <w:left w:val="single" w:sz="4" w:space="0" w:color="auto"/>
            </w:tcBorders>
            <w:shd w:val="clear" w:color="auto" w:fill="D4DDE4"/>
            <w:vAlign w:val="bottom"/>
          </w:tcPr>
          <w:p w:rsidR="00310BA6" w:rsidRPr="00CE5397" w:rsidRDefault="00310BA6" w:rsidP="00C20371">
            <w:pPr>
              <w:pStyle w:val="Other0"/>
              <w:spacing w:after="0"/>
              <w:jc w:val="center"/>
              <w:rPr>
                <w:lang w:val="sq-AL"/>
              </w:rPr>
            </w:pPr>
            <w:r w:rsidRPr="00CE5397">
              <w:rPr>
                <w:b/>
                <w:bCs/>
                <w:lang w:val="sq-AL"/>
              </w:rPr>
              <w:t xml:space="preserve">DATA E SJELLJES SË AKTGJYKIMIT </w:t>
            </w:r>
          </w:p>
        </w:tc>
        <w:tc>
          <w:tcPr>
            <w:tcW w:w="2611" w:type="dxa"/>
            <w:tcBorders>
              <w:top w:val="single" w:sz="4" w:space="0" w:color="auto"/>
              <w:left w:val="single" w:sz="4" w:space="0" w:color="auto"/>
            </w:tcBorders>
            <w:shd w:val="clear" w:color="auto" w:fill="D4DDE4"/>
            <w:vAlign w:val="bottom"/>
          </w:tcPr>
          <w:p w:rsidR="00310BA6" w:rsidRPr="00CE5397" w:rsidRDefault="00310BA6" w:rsidP="00C20371">
            <w:pPr>
              <w:pStyle w:val="Other0"/>
              <w:spacing w:after="0"/>
              <w:jc w:val="center"/>
              <w:rPr>
                <w:lang w:val="sq-AL"/>
              </w:rPr>
            </w:pPr>
            <w:r w:rsidRPr="00CE5397">
              <w:rPr>
                <w:b/>
                <w:bCs/>
                <w:lang w:val="sq-AL"/>
              </w:rPr>
              <w:t xml:space="preserve">DATA E SJELLJES SË REZOLUTËS PËRFUNDIMTARE </w:t>
            </w:r>
          </w:p>
        </w:tc>
        <w:tc>
          <w:tcPr>
            <w:tcW w:w="4694" w:type="dxa"/>
            <w:tcBorders>
              <w:top w:val="single" w:sz="4" w:space="0" w:color="auto"/>
              <w:left w:val="single" w:sz="4" w:space="0" w:color="auto"/>
              <w:right w:val="single" w:sz="4" w:space="0" w:color="auto"/>
            </w:tcBorders>
            <w:shd w:val="clear" w:color="auto" w:fill="D4DDE4"/>
            <w:vAlign w:val="center"/>
          </w:tcPr>
          <w:p w:rsidR="00310BA6" w:rsidRPr="00CE5397" w:rsidRDefault="00310BA6" w:rsidP="00C20371">
            <w:pPr>
              <w:pStyle w:val="Other0"/>
              <w:spacing w:after="0" w:line="240" w:lineRule="auto"/>
              <w:jc w:val="center"/>
              <w:rPr>
                <w:lang w:val="sq-AL"/>
              </w:rPr>
            </w:pPr>
            <w:r w:rsidRPr="00CE5397">
              <w:rPr>
                <w:b/>
                <w:bCs/>
                <w:lang w:val="sq-AL"/>
              </w:rPr>
              <w:t xml:space="preserve">LLOJI I LËNDIMIT </w:t>
            </w:r>
          </w:p>
        </w:tc>
      </w:tr>
      <w:tr w:rsidR="00310BA6">
        <w:trPr>
          <w:trHeight w:hRule="exact" w:val="1277"/>
          <w:jc w:val="center"/>
        </w:trPr>
        <w:tc>
          <w:tcPr>
            <w:tcW w:w="480" w:type="dxa"/>
            <w:tcBorders>
              <w:top w:val="single" w:sz="4" w:space="0" w:color="auto"/>
              <w:left w:val="single" w:sz="4" w:space="0" w:color="auto"/>
            </w:tcBorders>
            <w:shd w:val="clear" w:color="auto" w:fill="auto"/>
            <w:vAlign w:val="bottom"/>
          </w:tcPr>
          <w:p w:rsidR="00310BA6" w:rsidRDefault="00310BA6">
            <w:pPr>
              <w:pStyle w:val="Other0"/>
              <w:spacing w:after="0" w:line="240" w:lineRule="auto"/>
              <w:ind w:firstLine="200"/>
              <w:rPr>
                <w:sz w:val="22"/>
                <w:szCs w:val="22"/>
              </w:rPr>
            </w:pPr>
            <w:r>
              <w:rPr>
                <w:b/>
                <w:bCs/>
                <w:sz w:val="22"/>
                <w:szCs w:val="22"/>
              </w:rPr>
              <w:t>1.</w:t>
            </w:r>
          </w:p>
        </w:tc>
        <w:tc>
          <w:tcPr>
            <w:tcW w:w="2530" w:type="dxa"/>
            <w:tcBorders>
              <w:top w:val="single" w:sz="4" w:space="0" w:color="auto"/>
              <w:left w:val="single" w:sz="4" w:space="0" w:color="auto"/>
            </w:tcBorders>
            <w:shd w:val="clear" w:color="auto" w:fill="auto"/>
            <w:vAlign w:val="bottom"/>
          </w:tcPr>
          <w:p w:rsidR="00310BA6" w:rsidRPr="00CE5397" w:rsidRDefault="00310BA6" w:rsidP="00C20371">
            <w:pPr>
              <w:pStyle w:val="Other0"/>
              <w:spacing w:after="0" w:line="240" w:lineRule="auto"/>
              <w:jc w:val="center"/>
              <w:rPr>
                <w:lang w:val="sq-AL"/>
              </w:rPr>
            </w:pPr>
            <w:r w:rsidRPr="00CE5397">
              <w:rPr>
                <w:b/>
                <w:bCs/>
                <w:lang w:val="sq-AL"/>
              </w:rPr>
              <w:t>Ilievskia</w:t>
            </w:r>
            <w:r w:rsidRPr="00CE5397">
              <w:rPr>
                <w:b/>
                <w:bCs/>
                <w:vertAlign w:val="superscript"/>
                <w:lang w:val="sq-AL"/>
              </w:rPr>
              <w:footnoteReference w:id="7"/>
            </w:r>
            <w:r>
              <w:rPr>
                <w:b/>
                <w:bCs/>
                <w:lang w:val="sq-AL"/>
              </w:rPr>
              <w:t xml:space="preserve"> </w:t>
            </w:r>
            <w:r w:rsidRPr="00CE5397">
              <w:rPr>
                <w:b/>
                <w:bCs/>
                <w:lang w:val="sq-AL"/>
              </w:rPr>
              <w:t>(masa individuale) –</w:t>
            </w:r>
            <w:r w:rsidRPr="00CE5397">
              <w:rPr>
                <w:bCs/>
                <w:lang w:val="sq-AL"/>
              </w:rPr>
              <w:t>rast i përsëritur në grupin Kitanovski</w:t>
            </w:r>
          </w:p>
        </w:tc>
        <w:tc>
          <w:tcPr>
            <w:tcW w:w="1800" w:type="dxa"/>
            <w:tcBorders>
              <w:top w:val="single" w:sz="4" w:space="0" w:color="auto"/>
              <w:left w:val="single" w:sz="4" w:space="0" w:color="auto"/>
            </w:tcBorders>
            <w:shd w:val="clear" w:color="auto" w:fill="auto"/>
            <w:vAlign w:val="center"/>
          </w:tcPr>
          <w:p w:rsidR="00310BA6" w:rsidRDefault="00310BA6" w:rsidP="00310BA6">
            <w:pPr>
              <w:pStyle w:val="Other0"/>
              <w:spacing w:after="0" w:line="240" w:lineRule="auto"/>
              <w:jc w:val="center"/>
              <w:rPr>
                <w:sz w:val="22"/>
                <w:szCs w:val="22"/>
              </w:rPr>
            </w:pPr>
            <w:r>
              <w:rPr>
                <w:sz w:val="22"/>
                <w:szCs w:val="22"/>
              </w:rPr>
              <w:t>А.nr.20136/11</w:t>
            </w:r>
          </w:p>
        </w:tc>
        <w:tc>
          <w:tcPr>
            <w:tcW w:w="2069" w:type="dxa"/>
            <w:tcBorders>
              <w:top w:val="single" w:sz="4" w:space="0" w:color="auto"/>
              <w:left w:val="single" w:sz="4" w:space="0" w:color="auto"/>
            </w:tcBorders>
            <w:shd w:val="clear" w:color="auto" w:fill="auto"/>
            <w:vAlign w:val="center"/>
          </w:tcPr>
          <w:p w:rsidR="00310BA6" w:rsidRDefault="00310BA6">
            <w:pPr>
              <w:pStyle w:val="Other0"/>
              <w:spacing w:after="0" w:line="240" w:lineRule="auto"/>
              <w:jc w:val="center"/>
              <w:rPr>
                <w:sz w:val="22"/>
                <w:szCs w:val="22"/>
              </w:rPr>
            </w:pPr>
            <w:r>
              <w:rPr>
                <w:sz w:val="22"/>
                <w:szCs w:val="22"/>
              </w:rPr>
              <w:t>07.05.2015</w:t>
            </w:r>
          </w:p>
        </w:tc>
        <w:tc>
          <w:tcPr>
            <w:tcW w:w="2611" w:type="dxa"/>
            <w:tcBorders>
              <w:top w:val="single" w:sz="4" w:space="0" w:color="auto"/>
              <w:left w:val="single" w:sz="4" w:space="0" w:color="auto"/>
            </w:tcBorders>
            <w:shd w:val="clear" w:color="auto" w:fill="auto"/>
            <w:vAlign w:val="center"/>
          </w:tcPr>
          <w:p w:rsidR="00310BA6" w:rsidRDefault="00310BA6">
            <w:pPr>
              <w:pStyle w:val="Other0"/>
              <w:spacing w:after="0" w:line="240" w:lineRule="auto"/>
              <w:jc w:val="center"/>
              <w:rPr>
                <w:sz w:val="22"/>
                <w:szCs w:val="22"/>
              </w:rPr>
            </w:pPr>
            <w:r>
              <w:rPr>
                <w:sz w:val="22"/>
                <w:szCs w:val="22"/>
              </w:rPr>
              <w:t>11.06.2024</w:t>
            </w:r>
          </w:p>
        </w:tc>
        <w:tc>
          <w:tcPr>
            <w:tcW w:w="4694" w:type="dxa"/>
            <w:tcBorders>
              <w:top w:val="single" w:sz="4" w:space="0" w:color="auto"/>
              <w:left w:val="single" w:sz="4" w:space="0" w:color="auto"/>
              <w:right w:val="single" w:sz="4" w:space="0" w:color="auto"/>
            </w:tcBorders>
            <w:shd w:val="clear" w:color="auto" w:fill="auto"/>
            <w:vAlign w:val="center"/>
          </w:tcPr>
          <w:p w:rsidR="00310BA6" w:rsidRPr="00CE5397" w:rsidRDefault="00310BA6" w:rsidP="00C20371">
            <w:pPr>
              <w:pStyle w:val="Other0"/>
              <w:spacing w:after="0" w:line="240" w:lineRule="auto"/>
              <w:jc w:val="center"/>
              <w:rPr>
                <w:lang w:val="sq-AL"/>
              </w:rPr>
            </w:pPr>
            <w:r w:rsidRPr="00CE5397">
              <w:rPr>
                <w:b/>
                <w:bCs/>
                <w:lang w:val="sq-AL"/>
              </w:rPr>
              <w:t>Neni 3 i Konventës</w:t>
            </w:r>
          </w:p>
          <w:p w:rsidR="00310BA6" w:rsidRPr="00CE5397" w:rsidRDefault="00310BA6" w:rsidP="00C20371">
            <w:pPr>
              <w:pStyle w:val="Other0"/>
              <w:spacing w:after="0" w:line="240" w:lineRule="auto"/>
              <w:jc w:val="center"/>
              <w:rPr>
                <w:lang w:val="sq-AL"/>
              </w:rPr>
            </w:pPr>
            <w:r w:rsidRPr="00CE5397">
              <w:rPr>
                <w:lang w:val="sq-AL"/>
              </w:rPr>
              <w:t xml:space="preserve">Ndalimi i torturës </w:t>
            </w:r>
          </w:p>
        </w:tc>
      </w:tr>
      <w:tr w:rsidR="00310BA6">
        <w:trPr>
          <w:trHeight w:hRule="exact" w:val="1526"/>
          <w:jc w:val="center"/>
        </w:trPr>
        <w:tc>
          <w:tcPr>
            <w:tcW w:w="480" w:type="dxa"/>
            <w:tcBorders>
              <w:top w:val="single" w:sz="4" w:space="0" w:color="auto"/>
              <w:left w:val="single" w:sz="4" w:space="0" w:color="auto"/>
            </w:tcBorders>
            <w:shd w:val="clear" w:color="auto" w:fill="D4DDE4"/>
            <w:vAlign w:val="bottom"/>
          </w:tcPr>
          <w:p w:rsidR="00310BA6" w:rsidRDefault="00310BA6">
            <w:pPr>
              <w:pStyle w:val="Other0"/>
              <w:spacing w:after="0" w:line="240" w:lineRule="auto"/>
              <w:ind w:firstLine="200"/>
              <w:rPr>
                <w:sz w:val="22"/>
                <w:szCs w:val="22"/>
              </w:rPr>
            </w:pPr>
            <w:r>
              <w:rPr>
                <w:b/>
                <w:bCs/>
                <w:sz w:val="22"/>
                <w:szCs w:val="22"/>
              </w:rPr>
              <w:t>2.</w:t>
            </w:r>
          </w:p>
        </w:tc>
        <w:tc>
          <w:tcPr>
            <w:tcW w:w="2530" w:type="dxa"/>
            <w:tcBorders>
              <w:top w:val="single" w:sz="4" w:space="0" w:color="auto"/>
              <w:left w:val="single" w:sz="4" w:space="0" w:color="auto"/>
            </w:tcBorders>
            <w:shd w:val="clear" w:color="auto" w:fill="D4DDE4"/>
            <w:vAlign w:val="center"/>
          </w:tcPr>
          <w:p w:rsidR="00310BA6" w:rsidRPr="00CE5397" w:rsidRDefault="00310BA6" w:rsidP="00C20371">
            <w:pPr>
              <w:pStyle w:val="Other0"/>
              <w:spacing w:after="0" w:line="240" w:lineRule="auto"/>
              <w:jc w:val="center"/>
              <w:rPr>
                <w:lang w:val="sq-AL"/>
              </w:rPr>
            </w:pPr>
            <w:r w:rsidRPr="00CE5397">
              <w:rPr>
                <w:b/>
                <w:bCs/>
                <w:lang w:val="sq-AL"/>
              </w:rPr>
              <w:t>Memedova dhe të tjerë</w:t>
            </w:r>
            <w:r w:rsidRPr="00CE5397">
              <w:rPr>
                <w:lang w:val="sq-AL"/>
              </w:rPr>
              <w:t>–rast kryesor</w:t>
            </w:r>
          </w:p>
        </w:tc>
        <w:tc>
          <w:tcPr>
            <w:tcW w:w="1800" w:type="dxa"/>
            <w:tcBorders>
              <w:top w:val="single" w:sz="4" w:space="0" w:color="auto"/>
              <w:left w:val="single" w:sz="4" w:space="0" w:color="auto"/>
            </w:tcBorders>
            <w:shd w:val="clear" w:color="auto" w:fill="D4DDE4"/>
            <w:vAlign w:val="center"/>
          </w:tcPr>
          <w:p w:rsidR="00310BA6" w:rsidRDefault="00310BA6">
            <w:pPr>
              <w:pStyle w:val="Other0"/>
              <w:spacing w:after="0" w:line="240" w:lineRule="auto"/>
              <w:jc w:val="center"/>
              <w:rPr>
                <w:sz w:val="22"/>
                <w:szCs w:val="22"/>
              </w:rPr>
            </w:pPr>
            <w:r>
              <w:rPr>
                <w:sz w:val="22"/>
                <w:szCs w:val="22"/>
              </w:rPr>
              <w:t>А. nr.42429/16</w:t>
            </w:r>
          </w:p>
        </w:tc>
        <w:tc>
          <w:tcPr>
            <w:tcW w:w="2069" w:type="dxa"/>
            <w:tcBorders>
              <w:top w:val="single" w:sz="4" w:space="0" w:color="auto"/>
              <w:left w:val="single" w:sz="4" w:space="0" w:color="auto"/>
            </w:tcBorders>
            <w:shd w:val="clear" w:color="auto" w:fill="D4DDE4"/>
            <w:vAlign w:val="center"/>
          </w:tcPr>
          <w:p w:rsidR="00310BA6" w:rsidRDefault="00310BA6">
            <w:pPr>
              <w:pStyle w:val="Other0"/>
              <w:spacing w:after="0" w:line="240" w:lineRule="auto"/>
              <w:jc w:val="center"/>
              <w:rPr>
                <w:sz w:val="22"/>
                <w:szCs w:val="22"/>
              </w:rPr>
            </w:pPr>
            <w:r>
              <w:rPr>
                <w:sz w:val="22"/>
                <w:szCs w:val="22"/>
              </w:rPr>
              <w:t>24.10.2023</w:t>
            </w:r>
          </w:p>
        </w:tc>
        <w:tc>
          <w:tcPr>
            <w:tcW w:w="2611" w:type="dxa"/>
            <w:tcBorders>
              <w:top w:val="single" w:sz="4" w:space="0" w:color="auto"/>
              <w:left w:val="single" w:sz="4" w:space="0" w:color="auto"/>
            </w:tcBorders>
            <w:shd w:val="clear" w:color="auto" w:fill="D4DDE4"/>
            <w:vAlign w:val="center"/>
          </w:tcPr>
          <w:p w:rsidR="00310BA6" w:rsidRDefault="00310BA6">
            <w:pPr>
              <w:pStyle w:val="Other0"/>
              <w:spacing w:after="0" w:line="240" w:lineRule="auto"/>
              <w:jc w:val="center"/>
              <w:rPr>
                <w:sz w:val="22"/>
                <w:szCs w:val="22"/>
              </w:rPr>
            </w:pPr>
            <w:r>
              <w:rPr>
                <w:sz w:val="22"/>
                <w:szCs w:val="22"/>
              </w:rPr>
              <w:t>23.10.2024</w:t>
            </w:r>
          </w:p>
        </w:tc>
        <w:tc>
          <w:tcPr>
            <w:tcW w:w="4694" w:type="dxa"/>
            <w:tcBorders>
              <w:top w:val="single" w:sz="4" w:space="0" w:color="auto"/>
              <w:left w:val="single" w:sz="4" w:space="0" w:color="auto"/>
              <w:right w:val="single" w:sz="4" w:space="0" w:color="auto"/>
            </w:tcBorders>
            <w:shd w:val="clear" w:color="auto" w:fill="D4DDE4"/>
            <w:vAlign w:val="center"/>
          </w:tcPr>
          <w:p w:rsidR="00310BA6" w:rsidRPr="00CE5397" w:rsidRDefault="00310BA6" w:rsidP="00C20371">
            <w:pPr>
              <w:pStyle w:val="Other0"/>
              <w:spacing w:after="0" w:line="240" w:lineRule="auto"/>
              <w:jc w:val="center"/>
              <w:rPr>
                <w:lang w:val="sq-AL"/>
              </w:rPr>
            </w:pPr>
            <w:r w:rsidRPr="00CE5397">
              <w:rPr>
                <w:b/>
                <w:bCs/>
                <w:lang w:val="sq-AL"/>
              </w:rPr>
              <w:t xml:space="preserve">Neni 2 i Protokollit numër 4 të Konventës </w:t>
            </w:r>
          </w:p>
          <w:p w:rsidR="00310BA6" w:rsidRPr="00CE5397" w:rsidRDefault="00310BA6" w:rsidP="00C20371">
            <w:pPr>
              <w:pStyle w:val="Other0"/>
              <w:spacing w:after="0" w:line="240" w:lineRule="auto"/>
              <w:jc w:val="center"/>
              <w:rPr>
                <w:lang w:val="sq-AL"/>
              </w:rPr>
            </w:pPr>
            <w:r w:rsidRPr="00CE5397">
              <w:rPr>
                <w:lang w:val="sq-AL"/>
              </w:rPr>
              <w:t xml:space="preserve">Liria e lëvizjes </w:t>
            </w:r>
          </w:p>
        </w:tc>
      </w:tr>
      <w:tr w:rsidR="00310BA6">
        <w:trPr>
          <w:trHeight w:hRule="exact" w:val="1781"/>
          <w:jc w:val="center"/>
        </w:trPr>
        <w:tc>
          <w:tcPr>
            <w:tcW w:w="480" w:type="dxa"/>
            <w:tcBorders>
              <w:top w:val="single" w:sz="4" w:space="0" w:color="auto"/>
              <w:left w:val="single" w:sz="4" w:space="0" w:color="auto"/>
            </w:tcBorders>
            <w:shd w:val="clear" w:color="auto" w:fill="auto"/>
            <w:vAlign w:val="center"/>
          </w:tcPr>
          <w:p w:rsidR="00310BA6" w:rsidRDefault="00310BA6">
            <w:pPr>
              <w:pStyle w:val="Other0"/>
              <w:spacing w:after="0" w:line="240" w:lineRule="auto"/>
              <w:ind w:firstLine="200"/>
              <w:rPr>
                <w:sz w:val="22"/>
                <w:szCs w:val="22"/>
              </w:rPr>
            </w:pPr>
            <w:r>
              <w:rPr>
                <w:b/>
                <w:bCs/>
                <w:sz w:val="22"/>
                <w:szCs w:val="22"/>
              </w:rPr>
              <w:t>3.</w:t>
            </w:r>
          </w:p>
        </w:tc>
        <w:tc>
          <w:tcPr>
            <w:tcW w:w="2530" w:type="dxa"/>
            <w:tcBorders>
              <w:top w:val="single" w:sz="4" w:space="0" w:color="auto"/>
              <w:left w:val="single" w:sz="4" w:space="0" w:color="auto"/>
            </w:tcBorders>
            <w:shd w:val="clear" w:color="auto" w:fill="auto"/>
            <w:vAlign w:val="bottom"/>
          </w:tcPr>
          <w:p w:rsidR="00310BA6" w:rsidRPr="00CE5397" w:rsidRDefault="00310BA6" w:rsidP="00C20371">
            <w:pPr>
              <w:pStyle w:val="Other0"/>
              <w:spacing w:after="0" w:line="240" w:lineRule="auto"/>
              <w:jc w:val="center"/>
              <w:rPr>
                <w:lang w:val="sq-AL"/>
              </w:rPr>
            </w:pPr>
            <w:r w:rsidRPr="00CE5397">
              <w:rPr>
                <w:b/>
                <w:bCs/>
                <w:lang w:val="sq-AL"/>
              </w:rPr>
              <w:t>POA (</w:t>
            </w:r>
            <w:r w:rsidRPr="00CE5397">
              <w:rPr>
                <w:rStyle w:val="rynqvb"/>
                <w:rFonts w:eastAsia="Georgia"/>
                <w:b/>
                <w:lang w:val="sq-AL"/>
              </w:rPr>
              <w:t>Kryepeshkopata Greke Ortodokse e Ohrit Patri</w:t>
            </w:r>
            <w:r>
              <w:rPr>
                <w:rStyle w:val="rynqvb"/>
                <w:rFonts w:eastAsia="Georgia"/>
                <w:b/>
                <w:lang w:val="sq-AL"/>
              </w:rPr>
              <w:t xml:space="preserve">kana e </w:t>
            </w:r>
            <w:r w:rsidRPr="00CE5397">
              <w:rPr>
                <w:rStyle w:val="rynqvb"/>
                <w:rFonts w:eastAsia="Georgia"/>
                <w:b/>
                <w:lang w:val="sq-AL"/>
              </w:rPr>
              <w:t xml:space="preserve"> Pejës</w:t>
            </w:r>
            <w:r w:rsidRPr="00CE5397">
              <w:rPr>
                <w:b/>
                <w:bCs/>
                <w:lang w:val="sq-AL"/>
              </w:rPr>
              <w:t xml:space="preserve">) </w:t>
            </w:r>
            <w:r w:rsidRPr="00CE5397">
              <w:rPr>
                <w:lang w:val="sq-AL"/>
              </w:rPr>
              <w:t>- rast kryesor</w:t>
            </w:r>
          </w:p>
        </w:tc>
        <w:tc>
          <w:tcPr>
            <w:tcW w:w="1800" w:type="dxa"/>
            <w:tcBorders>
              <w:top w:val="single" w:sz="4" w:space="0" w:color="auto"/>
              <w:left w:val="single" w:sz="4" w:space="0" w:color="auto"/>
            </w:tcBorders>
            <w:shd w:val="clear" w:color="auto" w:fill="auto"/>
            <w:vAlign w:val="bottom"/>
          </w:tcPr>
          <w:p w:rsidR="00310BA6" w:rsidRDefault="00310BA6">
            <w:pPr>
              <w:pStyle w:val="Other0"/>
              <w:spacing w:after="0" w:line="240" w:lineRule="auto"/>
              <w:jc w:val="center"/>
              <w:rPr>
                <w:sz w:val="22"/>
                <w:szCs w:val="22"/>
              </w:rPr>
            </w:pPr>
            <w:r>
              <w:rPr>
                <w:sz w:val="22"/>
                <w:szCs w:val="22"/>
              </w:rPr>
              <w:t>А. nr. 3532/07</w:t>
            </w:r>
          </w:p>
        </w:tc>
        <w:tc>
          <w:tcPr>
            <w:tcW w:w="2069" w:type="dxa"/>
            <w:tcBorders>
              <w:top w:val="single" w:sz="4" w:space="0" w:color="auto"/>
              <w:left w:val="single" w:sz="4" w:space="0" w:color="auto"/>
            </w:tcBorders>
            <w:shd w:val="clear" w:color="auto" w:fill="auto"/>
            <w:vAlign w:val="bottom"/>
          </w:tcPr>
          <w:p w:rsidR="00310BA6" w:rsidRDefault="00310BA6">
            <w:pPr>
              <w:pStyle w:val="Other0"/>
              <w:spacing w:after="0" w:line="240" w:lineRule="auto"/>
              <w:jc w:val="center"/>
              <w:rPr>
                <w:sz w:val="22"/>
                <w:szCs w:val="22"/>
              </w:rPr>
            </w:pPr>
            <w:r>
              <w:rPr>
                <w:sz w:val="22"/>
                <w:szCs w:val="22"/>
              </w:rPr>
              <w:t>16.11.2017</w:t>
            </w:r>
          </w:p>
        </w:tc>
        <w:tc>
          <w:tcPr>
            <w:tcW w:w="2611" w:type="dxa"/>
            <w:tcBorders>
              <w:top w:val="single" w:sz="4" w:space="0" w:color="auto"/>
              <w:left w:val="single" w:sz="4" w:space="0" w:color="auto"/>
            </w:tcBorders>
            <w:shd w:val="clear" w:color="auto" w:fill="auto"/>
            <w:vAlign w:val="bottom"/>
          </w:tcPr>
          <w:p w:rsidR="00310BA6" w:rsidRDefault="00310BA6">
            <w:pPr>
              <w:pStyle w:val="Other0"/>
              <w:spacing w:after="0" w:line="240" w:lineRule="auto"/>
              <w:jc w:val="center"/>
              <w:rPr>
                <w:sz w:val="22"/>
                <w:szCs w:val="22"/>
              </w:rPr>
            </w:pPr>
            <w:r>
              <w:rPr>
                <w:sz w:val="22"/>
                <w:szCs w:val="22"/>
              </w:rPr>
              <w:t>03.12.2024</w:t>
            </w:r>
          </w:p>
        </w:tc>
        <w:tc>
          <w:tcPr>
            <w:tcW w:w="4694" w:type="dxa"/>
            <w:tcBorders>
              <w:top w:val="single" w:sz="4" w:space="0" w:color="auto"/>
              <w:left w:val="single" w:sz="4" w:space="0" w:color="auto"/>
              <w:right w:val="single" w:sz="4" w:space="0" w:color="auto"/>
            </w:tcBorders>
            <w:shd w:val="clear" w:color="auto" w:fill="auto"/>
            <w:vAlign w:val="center"/>
          </w:tcPr>
          <w:p w:rsidR="00310BA6" w:rsidRPr="00CE5397" w:rsidRDefault="00310BA6" w:rsidP="00C20371">
            <w:pPr>
              <w:pStyle w:val="Other0"/>
              <w:spacing w:after="0" w:line="240" w:lineRule="auto"/>
              <w:jc w:val="center"/>
              <w:rPr>
                <w:b/>
                <w:bCs/>
                <w:lang w:val="sq-AL"/>
              </w:rPr>
            </w:pPr>
            <w:r w:rsidRPr="00CE5397">
              <w:rPr>
                <w:b/>
                <w:bCs/>
                <w:lang w:val="sq-AL"/>
              </w:rPr>
              <w:t xml:space="preserve">Neni 11 në lidhje me Nenin 9 të Konventës </w:t>
            </w:r>
          </w:p>
          <w:p w:rsidR="00310BA6" w:rsidRPr="00CE5397" w:rsidRDefault="00310BA6" w:rsidP="00C20371">
            <w:pPr>
              <w:pStyle w:val="Other0"/>
              <w:spacing w:after="0" w:line="240" w:lineRule="auto"/>
              <w:jc w:val="center"/>
              <w:rPr>
                <w:lang w:val="sq-AL"/>
              </w:rPr>
            </w:pPr>
            <w:r w:rsidRPr="00CE5397">
              <w:rPr>
                <w:lang w:val="sq-AL"/>
              </w:rPr>
              <w:t xml:space="preserve">e drejta e lirisë së organizimit </w:t>
            </w:r>
          </w:p>
        </w:tc>
      </w:tr>
      <w:tr w:rsidR="00310BA6">
        <w:trPr>
          <w:trHeight w:hRule="exact" w:val="878"/>
          <w:jc w:val="center"/>
        </w:trPr>
        <w:tc>
          <w:tcPr>
            <w:tcW w:w="480" w:type="dxa"/>
            <w:tcBorders>
              <w:top w:val="single" w:sz="4" w:space="0" w:color="auto"/>
              <w:left w:val="single" w:sz="4" w:space="0" w:color="auto"/>
              <w:bottom w:val="single" w:sz="4" w:space="0" w:color="auto"/>
            </w:tcBorders>
            <w:shd w:val="clear" w:color="auto" w:fill="D4DDE4"/>
            <w:vAlign w:val="center"/>
          </w:tcPr>
          <w:p w:rsidR="00310BA6" w:rsidRDefault="00310BA6">
            <w:pPr>
              <w:pStyle w:val="Other0"/>
              <w:spacing w:after="0" w:line="240" w:lineRule="auto"/>
              <w:ind w:firstLine="200"/>
              <w:rPr>
                <w:sz w:val="22"/>
                <w:szCs w:val="22"/>
              </w:rPr>
            </w:pPr>
            <w:r>
              <w:rPr>
                <w:b/>
                <w:bCs/>
                <w:sz w:val="22"/>
                <w:szCs w:val="22"/>
              </w:rPr>
              <w:t>4.</w:t>
            </w:r>
          </w:p>
        </w:tc>
        <w:tc>
          <w:tcPr>
            <w:tcW w:w="2530" w:type="dxa"/>
            <w:tcBorders>
              <w:top w:val="single" w:sz="4" w:space="0" w:color="auto"/>
              <w:left w:val="single" w:sz="4" w:space="0" w:color="auto"/>
              <w:bottom w:val="single" w:sz="4" w:space="0" w:color="auto"/>
            </w:tcBorders>
            <w:shd w:val="clear" w:color="auto" w:fill="D4DDE4"/>
            <w:vAlign w:val="bottom"/>
          </w:tcPr>
          <w:p w:rsidR="00310BA6" w:rsidRPr="00CE5397" w:rsidRDefault="00310BA6" w:rsidP="00C20371">
            <w:pPr>
              <w:pStyle w:val="Other0"/>
              <w:spacing w:after="0" w:line="240" w:lineRule="auto"/>
              <w:jc w:val="center"/>
              <w:rPr>
                <w:lang w:val="sq-AL"/>
              </w:rPr>
            </w:pPr>
            <w:r w:rsidRPr="00CE5397">
              <w:rPr>
                <w:b/>
                <w:bCs/>
                <w:lang w:val="sq-AL"/>
              </w:rPr>
              <w:t>Bashkësia e Bektashinjve dhe të tjerë</w:t>
            </w:r>
            <w:r w:rsidRPr="00CE5397">
              <w:rPr>
                <w:bCs/>
                <w:sz w:val="20"/>
                <w:szCs w:val="20"/>
                <w:lang w:val="sq-AL"/>
              </w:rPr>
              <w:t>–rast i përsëritur në</w:t>
            </w:r>
            <w:r w:rsidRPr="00CE5397">
              <w:rPr>
                <w:bCs/>
                <w:lang w:val="sq-AL"/>
              </w:rPr>
              <w:t xml:space="preserve"> grupin POA</w:t>
            </w:r>
          </w:p>
        </w:tc>
        <w:tc>
          <w:tcPr>
            <w:tcW w:w="1800" w:type="dxa"/>
            <w:tcBorders>
              <w:top w:val="single" w:sz="4" w:space="0" w:color="auto"/>
              <w:left w:val="single" w:sz="4" w:space="0" w:color="auto"/>
              <w:bottom w:val="single" w:sz="4" w:space="0" w:color="auto"/>
            </w:tcBorders>
            <w:shd w:val="clear" w:color="auto" w:fill="D4DDE4"/>
            <w:vAlign w:val="center"/>
          </w:tcPr>
          <w:p w:rsidR="00310BA6" w:rsidRDefault="00310BA6">
            <w:pPr>
              <w:pStyle w:val="Other0"/>
              <w:spacing w:after="0" w:line="240" w:lineRule="auto"/>
              <w:jc w:val="center"/>
              <w:rPr>
                <w:sz w:val="22"/>
                <w:szCs w:val="22"/>
              </w:rPr>
            </w:pPr>
            <w:r>
              <w:rPr>
                <w:sz w:val="22"/>
                <w:szCs w:val="22"/>
              </w:rPr>
              <w:t>А. nr. 48044/10</w:t>
            </w:r>
          </w:p>
        </w:tc>
        <w:tc>
          <w:tcPr>
            <w:tcW w:w="2069" w:type="dxa"/>
            <w:tcBorders>
              <w:top w:val="single" w:sz="4" w:space="0" w:color="auto"/>
              <w:left w:val="single" w:sz="4" w:space="0" w:color="auto"/>
              <w:bottom w:val="single" w:sz="4" w:space="0" w:color="auto"/>
            </w:tcBorders>
            <w:shd w:val="clear" w:color="auto" w:fill="D4DDE4"/>
            <w:vAlign w:val="center"/>
          </w:tcPr>
          <w:p w:rsidR="00310BA6" w:rsidRDefault="00310BA6">
            <w:pPr>
              <w:pStyle w:val="Other0"/>
              <w:spacing w:after="0" w:line="240" w:lineRule="auto"/>
              <w:jc w:val="center"/>
              <w:rPr>
                <w:sz w:val="22"/>
                <w:szCs w:val="22"/>
              </w:rPr>
            </w:pPr>
            <w:r>
              <w:rPr>
                <w:sz w:val="22"/>
                <w:szCs w:val="22"/>
              </w:rPr>
              <w:t>12.04.2018</w:t>
            </w:r>
          </w:p>
        </w:tc>
        <w:tc>
          <w:tcPr>
            <w:tcW w:w="2611" w:type="dxa"/>
            <w:tcBorders>
              <w:top w:val="single" w:sz="4" w:space="0" w:color="auto"/>
              <w:left w:val="single" w:sz="4" w:space="0" w:color="auto"/>
              <w:bottom w:val="single" w:sz="4" w:space="0" w:color="auto"/>
            </w:tcBorders>
            <w:shd w:val="clear" w:color="auto" w:fill="D4DDE4"/>
            <w:vAlign w:val="center"/>
          </w:tcPr>
          <w:p w:rsidR="00310BA6" w:rsidRDefault="00310BA6">
            <w:pPr>
              <w:pStyle w:val="Other0"/>
              <w:spacing w:after="0" w:line="240" w:lineRule="auto"/>
              <w:jc w:val="center"/>
              <w:rPr>
                <w:sz w:val="22"/>
                <w:szCs w:val="22"/>
              </w:rPr>
            </w:pPr>
            <w:r>
              <w:rPr>
                <w:sz w:val="22"/>
                <w:szCs w:val="22"/>
              </w:rPr>
              <w:t>03.12.2024</w:t>
            </w:r>
          </w:p>
        </w:tc>
        <w:tc>
          <w:tcPr>
            <w:tcW w:w="4694" w:type="dxa"/>
            <w:tcBorders>
              <w:top w:val="single" w:sz="4" w:space="0" w:color="auto"/>
              <w:left w:val="single" w:sz="4" w:space="0" w:color="auto"/>
              <w:bottom w:val="single" w:sz="4" w:space="0" w:color="auto"/>
              <w:right w:val="single" w:sz="4" w:space="0" w:color="auto"/>
            </w:tcBorders>
            <w:shd w:val="clear" w:color="auto" w:fill="D4DDE4"/>
            <w:vAlign w:val="center"/>
          </w:tcPr>
          <w:p w:rsidR="00310BA6" w:rsidRPr="00CE5397" w:rsidRDefault="00310BA6" w:rsidP="00C20371">
            <w:pPr>
              <w:pStyle w:val="Other0"/>
              <w:spacing w:after="0" w:line="338" w:lineRule="auto"/>
              <w:jc w:val="center"/>
              <w:rPr>
                <w:lang w:val="sq-AL"/>
              </w:rPr>
            </w:pPr>
            <w:r w:rsidRPr="00CE5397">
              <w:rPr>
                <w:b/>
                <w:bCs/>
                <w:lang w:val="sq-AL"/>
              </w:rPr>
              <w:t>Neni 11 në lidhje me Nenin 9 të Konventës</w:t>
            </w:r>
          </w:p>
          <w:p w:rsidR="00310BA6" w:rsidRPr="00CE5397" w:rsidRDefault="00310BA6" w:rsidP="00C20371">
            <w:pPr>
              <w:pStyle w:val="Other0"/>
              <w:spacing w:after="0" w:line="338" w:lineRule="auto"/>
              <w:jc w:val="center"/>
              <w:rPr>
                <w:lang w:val="sq-AL"/>
              </w:rPr>
            </w:pPr>
            <w:r w:rsidRPr="00CE5397">
              <w:rPr>
                <w:lang w:val="sq-AL"/>
              </w:rPr>
              <w:t>e drejta e lirisë së organizimit</w:t>
            </w:r>
          </w:p>
        </w:tc>
      </w:tr>
    </w:tbl>
    <w:p w:rsidR="00D65C97" w:rsidRDefault="00D65C97">
      <w:pPr>
        <w:sectPr w:rsidR="00D65C97">
          <w:headerReference w:type="even" r:id="rId27"/>
          <w:headerReference w:type="default" r:id="rId28"/>
          <w:footerReference w:type="even" r:id="rId29"/>
          <w:footerReference w:type="default" r:id="rId30"/>
          <w:pgSz w:w="16840" w:h="11900" w:orient="landscape"/>
          <w:pgMar w:top="1340" w:right="1331" w:bottom="49" w:left="1326" w:header="912" w:footer="3" w:gutter="0"/>
          <w:cols w:space="720"/>
          <w:noEndnote/>
          <w:docGrid w:linePitch="360"/>
        </w:sectPr>
      </w:pPr>
    </w:p>
    <w:p w:rsidR="00310BA6" w:rsidRPr="00CE5397" w:rsidRDefault="00310BA6" w:rsidP="00310BA6">
      <w:pPr>
        <w:pStyle w:val="BodyText1"/>
        <w:spacing w:after="900" w:line="240" w:lineRule="auto"/>
        <w:rPr>
          <w:sz w:val="24"/>
          <w:szCs w:val="24"/>
          <w:lang w:val="sq-AL"/>
        </w:rPr>
      </w:pPr>
      <w:r w:rsidRPr="00CE5397">
        <w:rPr>
          <w:b/>
          <w:bCs/>
          <w:sz w:val="24"/>
          <w:szCs w:val="24"/>
          <w:lang w:val="sq-AL"/>
        </w:rPr>
        <w:lastRenderedPageBreak/>
        <w:t>Aneksi nr. 2</w:t>
      </w:r>
    </w:p>
    <w:p w:rsidR="00310BA6" w:rsidRPr="00CE5397" w:rsidRDefault="00310BA6" w:rsidP="00310BA6">
      <w:pPr>
        <w:pStyle w:val="BodyText1"/>
        <w:spacing w:after="580" w:line="396" w:lineRule="auto"/>
        <w:rPr>
          <w:sz w:val="24"/>
          <w:szCs w:val="24"/>
          <w:lang w:val="sq-AL"/>
        </w:rPr>
      </w:pPr>
      <w:r w:rsidRPr="00CE5397">
        <w:rPr>
          <w:b/>
          <w:bCs/>
          <w:sz w:val="24"/>
          <w:szCs w:val="24"/>
          <w:lang w:val="sq-AL"/>
        </w:rPr>
        <w:t>Lëndë për të cilat janë depozituar plane dhe raporte veprimi gjatë vitit 2024:</w:t>
      </w:r>
    </w:p>
    <w:p w:rsidR="00310BA6" w:rsidRPr="00CE5397" w:rsidRDefault="00310BA6" w:rsidP="00310BA6">
      <w:pPr>
        <w:pStyle w:val="BodyText1"/>
        <w:spacing w:after="0" w:line="396" w:lineRule="auto"/>
        <w:rPr>
          <w:sz w:val="24"/>
          <w:szCs w:val="24"/>
          <w:lang w:val="sq-AL"/>
        </w:rPr>
      </w:pPr>
      <w:r w:rsidRPr="00CE5397">
        <w:rPr>
          <w:b/>
          <w:bCs/>
          <w:sz w:val="24"/>
          <w:szCs w:val="24"/>
          <w:u w:val="single"/>
          <w:lang w:val="sq-AL"/>
        </w:rPr>
        <w:t>Plane veprimi:</w:t>
      </w:r>
    </w:p>
    <w:p w:rsidR="00310BA6" w:rsidRPr="00CE5397" w:rsidRDefault="00310BA6" w:rsidP="00310BA6">
      <w:pPr>
        <w:pStyle w:val="BodyText1"/>
        <w:numPr>
          <w:ilvl w:val="0"/>
          <w:numId w:val="10"/>
        </w:numPr>
        <w:tabs>
          <w:tab w:val="left" w:pos="954"/>
        </w:tabs>
        <w:spacing w:after="80" w:line="396" w:lineRule="auto"/>
        <w:ind w:firstLine="620"/>
        <w:rPr>
          <w:sz w:val="24"/>
          <w:szCs w:val="24"/>
          <w:lang w:val="sq-AL"/>
        </w:rPr>
      </w:pPr>
      <w:r w:rsidRPr="00CE5397">
        <w:rPr>
          <w:sz w:val="24"/>
          <w:szCs w:val="24"/>
          <w:lang w:val="sq-AL"/>
        </w:rPr>
        <w:t>Grupi Kitanovski</w:t>
      </w:r>
    </w:p>
    <w:p w:rsidR="00310BA6" w:rsidRPr="00CE5397" w:rsidRDefault="00310BA6" w:rsidP="00310BA6">
      <w:pPr>
        <w:pStyle w:val="BodyText1"/>
        <w:spacing w:after="0"/>
        <w:ind w:left="740"/>
        <w:jc w:val="both"/>
        <w:rPr>
          <w:sz w:val="24"/>
          <w:szCs w:val="24"/>
          <w:lang w:val="sq-AL"/>
        </w:rPr>
      </w:pPr>
      <w:r w:rsidRPr="00CE5397">
        <w:rPr>
          <w:sz w:val="24"/>
          <w:szCs w:val="24"/>
          <w:lang w:val="sq-AL"/>
        </w:rPr>
        <w:t xml:space="preserve">(lëndë: </w:t>
      </w:r>
      <w:r w:rsidRPr="00CE5397">
        <w:rPr>
          <w:rStyle w:val="rynqvb"/>
          <w:rFonts w:eastAsia="Georgia"/>
          <w:sz w:val="24"/>
          <w:szCs w:val="24"/>
          <w:lang w:val="sq-AL"/>
        </w:rPr>
        <w:t>Kitanovski, Andonovski, Asllani, Hajrullahu, Ilievska, Memedov, Trendafilovski, H dhe U</w:t>
      </w:r>
      <w:r w:rsidRPr="00CE5397">
        <w:rPr>
          <w:sz w:val="24"/>
          <w:szCs w:val="24"/>
          <w:lang w:val="sq-AL"/>
        </w:rPr>
        <w:t>);</w:t>
      </w:r>
    </w:p>
    <w:p w:rsidR="00310BA6" w:rsidRPr="00CE5397" w:rsidRDefault="00310BA6" w:rsidP="00310BA6">
      <w:pPr>
        <w:pStyle w:val="BodyText1"/>
        <w:numPr>
          <w:ilvl w:val="0"/>
          <w:numId w:val="10"/>
        </w:numPr>
        <w:tabs>
          <w:tab w:val="left" w:pos="964"/>
        </w:tabs>
        <w:spacing w:after="80" w:line="396" w:lineRule="auto"/>
        <w:ind w:firstLine="620"/>
        <w:jc w:val="both"/>
        <w:rPr>
          <w:sz w:val="24"/>
          <w:szCs w:val="24"/>
          <w:lang w:val="sq-AL"/>
        </w:rPr>
      </w:pPr>
      <w:r w:rsidRPr="00CE5397">
        <w:rPr>
          <w:sz w:val="24"/>
          <w:szCs w:val="24"/>
          <w:lang w:val="sq-AL"/>
        </w:rPr>
        <w:t>N (А. nr. 29683/16);</w:t>
      </w:r>
    </w:p>
    <w:p w:rsidR="00310BA6" w:rsidRPr="00CE5397" w:rsidRDefault="00310BA6" w:rsidP="00310BA6">
      <w:pPr>
        <w:pStyle w:val="BodyText1"/>
        <w:numPr>
          <w:ilvl w:val="0"/>
          <w:numId w:val="10"/>
        </w:numPr>
        <w:tabs>
          <w:tab w:val="left" w:pos="959"/>
        </w:tabs>
        <w:spacing w:after="80" w:line="396" w:lineRule="auto"/>
        <w:ind w:firstLine="620"/>
        <w:jc w:val="both"/>
        <w:rPr>
          <w:sz w:val="24"/>
          <w:szCs w:val="24"/>
          <w:lang w:val="sq-AL"/>
        </w:rPr>
      </w:pPr>
      <w:r w:rsidRPr="00CE5397">
        <w:rPr>
          <w:sz w:val="24"/>
          <w:szCs w:val="24"/>
          <w:lang w:val="sq-AL"/>
        </w:rPr>
        <w:t>Elmazova dhe të tjerë (А. nr. 11811/20 dhe 13550/20);</w:t>
      </w:r>
    </w:p>
    <w:p w:rsidR="00310BA6" w:rsidRPr="00CE5397" w:rsidRDefault="00310BA6" w:rsidP="00310BA6">
      <w:pPr>
        <w:pStyle w:val="BodyText1"/>
        <w:numPr>
          <w:ilvl w:val="0"/>
          <w:numId w:val="10"/>
        </w:numPr>
        <w:tabs>
          <w:tab w:val="left" w:pos="964"/>
        </w:tabs>
        <w:spacing w:after="80" w:line="396" w:lineRule="auto"/>
        <w:ind w:firstLine="620"/>
        <w:jc w:val="both"/>
        <w:rPr>
          <w:sz w:val="24"/>
          <w:szCs w:val="24"/>
          <w:lang w:val="sq-AL"/>
        </w:rPr>
      </w:pPr>
      <w:r w:rsidRPr="00CE5397">
        <w:rPr>
          <w:sz w:val="24"/>
          <w:szCs w:val="24"/>
          <w:lang w:val="sq-AL"/>
        </w:rPr>
        <w:t>Naskov (А. nr. 31620/15)</w:t>
      </w:r>
    </w:p>
    <w:p w:rsidR="00310BA6" w:rsidRPr="00CE5397" w:rsidRDefault="00310BA6" w:rsidP="00310BA6">
      <w:pPr>
        <w:pStyle w:val="BodyText1"/>
        <w:numPr>
          <w:ilvl w:val="0"/>
          <w:numId w:val="10"/>
        </w:numPr>
        <w:tabs>
          <w:tab w:val="left" w:pos="959"/>
        </w:tabs>
        <w:spacing w:after="80" w:line="396" w:lineRule="auto"/>
        <w:ind w:firstLine="620"/>
        <w:jc w:val="both"/>
        <w:rPr>
          <w:sz w:val="24"/>
          <w:szCs w:val="24"/>
          <w:lang w:val="sq-AL"/>
        </w:rPr>
      </w:pPr>
      <w:r w:rsidRPr="00CE5397">
        <w:rPr>
          <w:sz w:val="24"/>
          <w:szCs w:val="24"/>
          <w:lang w:val="sq-AL"/>
        </w:rPr>
        <w:t>Zhezhovski (А. nr.52572/18)</w:t>
      </w:r>
    </w:p>
    <w:p w:rsidR="00310BA6" w:rsidRPr="00CE5397" w:rsidRDefault="00310BA6" w:rsidP="00310BA6">
      <w:pPr>
        <w:pStyle w:val="BodyText1"/>
        <w:numPr>
          <w:ilvl w:val="0"/>
          <w:numId w:val="10"/>
        </w:numPr>
        <w:tabs>
          <w:tab w:val="left" w:pos="959"/>
        </w:tabs>
        <w:spacing w:after="80" w:line="396" w:lineRule="auto"/>
        <w:ind w:firstLine="620"/>
        <w:jc w:val="both"/>
        <w:rPr>
          <w:sz w:val="24"/>
          <w:szCs w:val="24"/>
          <w:lang w:val="sq-AL"/>
        </w:rPr>
      </w:pPr>
      <w:r w:rsidRPr="00CE5397">
        <w:rPr>
          <w:sz w:val="24"/>
          <w:szCs w:val="24"/>
          <w:lang w:val="sq-AL"/>
        </w:rPr>
        <w:t>Iljaz (А. nr.53040/19)</w:t>
      </w:r>
    </w:p>
    <w:p w:rsidR="00310BA6" w:rsidRPr="00CE5397" w:rsidRDefault="00310BA6" w:rsidP="00310BA6">
      <w:pPr>
        <w:pStyle w:val="BodyText1"/>
        <w:numPr>
          <w:ilvl w:val="0"/>
          <w:numId w:val="10"/>
        </w:numPr>
        <w:tabs>
          <w:tab w:val="left" w:pos="959"/>
        </w:tabs>
        <w:spacing w:after="80" w:line="396" w:lineRule="auto"/>
        <w:ind w:firstLine="620"/>
        <w:jc w:val="both"/>
        <w:rPr>
          <w:sz w:val="24"/>
          <w:szCs w:val="24"/>
          <w:lang w:val="sq-AL"/>
        </w:rPr>
      </w:pPr>
      <w:r w:rsidRPr="00CE5397">
        <w:rPr>
          <w:sz w:val="24"/>
          <w:szCs w:val="24"/>
          <w:lang w:val="sq-AL"/>
        </w:rPr>
        <w:t>S.B. (А. nr. 64163/19)</w:t>
      </w:r>
    </w:p>
    <w:p w:rsidR="00310BA6" w:rsidRPr="00CE5397" w:rsidRDefault="00310BA6" w:rsidP="00310BA6">
      <w:pPr>
        <w:pStyle w:val="BodyText1"/>
        <w:numPr>
          <w:ilvl w:val="0"/>
          <w:numId w:val="10"/>
        </w:numPr>
        <w:tabs>
          <w:tab w:val="left" w:pos="954"/>
        </w:tabs>
        <w:spacing w:after="80" w:line="396" w:lineRule="auto"/>
        <w:ind w:firstLine="620"/>
        <w:jc w:val="both"/>
        <w:rPr>
          <w:sz w:val="24"/>
          <w:szCs w:val="24"/>
          <w:lang w:val="sq-AL"/>
        </w:rPr>
      </w:pPr>
      <w:r w:rsidRPr="00CE5397">
        <w:rPr>
          <w:sz w:val="24"/>
          <w:szCs w:val="24"/>
          <w:lang w:val="sq-AL"/>
        </w:rPr>
        <w:t>Kitanovska dhe Trajkovski (А. nr.71651/17)</w:t>
      </w:r>
    </w:p>
    <w:p w:rsidR="00310BA6" w:rsidRPr="00CE5397" w:rsidRDefault="00310BA6" w:rsidP="00310BA6">
      <w:pPr>
        <w:pStyle w:val="BodyText1"/>
        <w:numPr>
          <w:ilvl w:val="0"/>
          <w:numId w:val="10"/>
        </w:numPr>
        <w:tabs>
          <w:tab w:val="left" w:pos="959"/>
        </w:tabs>
        <w:spacing w:after="80" w:line="396" w:lineRule="auto"/>
        <w:ind w:firstLine="620"/>
        <w:jc w:val="both"/>
        <w:rPr>
          <w:sz w:val="24"/>
          <w:szCs w:val="24"/>
          <w:lang w:val="sq-AL"/>
        </w:rPr>
      </w:pPr>
      <w:r w:rsidRPr="00CE5397">
        <w:rPr>
          <w:sz w:val="24"/>
          <w:szCs w:val="24"/>
          <w:lang w:val="sq-AL"/>
        </w:rPr>
        <w:t>D.H. (А. nr.44033/17)</w:t>
      </w:r>
    </w:p>
    <w:p w:rsidR="00310BA6" w:rsidRPr="00CE5397" w:rsidRDefault="00310BA6" w:rsidP="00310BA6">
      <w:pPr>
        <w:pStyle w:val="BodyText1"/>
        <w:spacing w:after="80" w:line="396" w:lineRule="auto"/>
        <w:ind w:firstLine="620"/>
        <w:rPr>
          <w:rStyle w:val="rynqvb"/>
          <w:rFonts w:eastAsia="Georgia"/>
          <w:sz w:val="24"/>
          <w:szCs w:val="24"/>
          <w:lang w:val="sq-AL"/>
        </w:rPr>
      </w:pPr>
      <w:r w:rsidRPr="00CE5397">
        <w:rPr>
          <w:rStyle w:val="rynqvb"/>
          <w:rFonts w:eastAsia="Georgia"/>
          <w:sz w:val="24"/>
          <w:szCs w:val="24"/>
          <w:lang w:val="sq-AL"/>
        </w:rPr>
        <w:t>10. Kitanovska dhe Barbulovski</w:t>
      </w:r>
    </w:p>
    <w:p w:rsidR="00310BA6" w:rsidRPr="00CE5397" w:rsidRDefault="00310BA6" w:rsidP="00310BA6">
      <w:pPr>
        <w:pStyle w:val="BodyText1"/>
        <w:numPr>
          <w:ilvl w:val="0"/>
          <w:numId w:val="10"/>
        </w:numPr>
        <w:spacing w:after="80" w:line="396" w:lineRule="auto"/>
        <w:rPr>
          <w:sz w:val="24"/>
          <w:szCs w:val="24"/>
          <w:lang w:val="sq-AL"/>
        </w:rPr>
      </w:pPr>
      <w:r w:rsidRPr="00CE5397">
        <w:rPr>
          <w:b/>
          <w:bCs/>
          <w:sz w:val="24"/>
          <w:szCs w:val="24"/>
          <w:u w:val="single"/>
          <w:lang w:val="sq-AL"/>
        </w:rPr>
        <w:t>Raporte veprimi:</w:t>
      </w:r>
    </w:p>
    <w:p w:rsidR="00310BA6" w:rsidRPr="00CE5397" w:rsidRDefault="00310BA6" w:rsidP="00310BA6">
      <w:pPr>
        <w:pStyle w:val="BodyText1"/>
        <w:numPr>
          <w:ilvl w:val="0"/>
          <w:numId w:val="11"/>
        </w:numPr>
        <w:tabs>
          <w:tab w:val="left" w:pos="954"/>
        </w:tabs>
        <w:spacing w:after="80" w:line="396" w:lineRule="auto"/>
        <w:ind w:firstLine="620"/>
        <w:jc w:val="both"/>
        <w:rPr>
          <w:sz w:val="24"/>
          <w:szCs w:val="24"/>
          <w:lang w:val="sq-AL"/>
        </w:rPr>
      </w:pPr>
      <w:r w:rsidRPr="00CE5397">
        <w:rPr>
          <w:sz w:val="24"/>
          <w:szCs w:val="24"/>
          <w:lang w:val="sq-AL"/>
        </w:rPr>
        <w:t>Memedova (А.nr.42429/16)</w:t>
      </w:r>
    </w:p>
    <w:p w:rsidR="00D65C97" w:rsidRDefault="00310BA6" w:rsidP="00310BA6">
      <w:pPr>
        <w:pStyle w:val="Bodytext0"/>
        <w:spacing w:after="80" w:line="396" w:lineRule="auto"/>
        <w:ind w:firstLine="980"/>
        <w:rPr>
          <w:sz w:val="22"/>
          <w:szCs w:val="22"/>
        </w:rPr>
        <w:sectPr w:rsidR="00D65C97">
          <w:pgSz w:w="11900" w:h="16840"/>
          <w:pgMar w:top="999" w:right="1008" w:bottom="999" w:left="1316" w:header="571" w:footer="3" w:gutter="0"/>
          <w:cols w:space="720"/>
          <w:noEndnote/>
          <w:docGrid w:linePitch="360"/>
        </w:sectPr>
      </w:pPr>
      <w:r w:rsidRPr="00CE5397">
        <w:rPr>
          <w:lang w:val="sq-AL"/>
        </w:rPr>
        <w:t>Grupi POA (</w:t>
      </w:r>
      <w:r w:rsidRPr="00CE5397">
        <w:rPr>
          <w:rStyle w:val="rynqvb"/>
          <w:rFonts w:eastAsia="Georgia"/>
          <w:lang w:val="sq-AL"/>
        </w:rPr>
        <w:t>Kryepeshkopata Greke Ortodokse e Ohrit Patri</w:t>
      </w:r>
      <w:r>
        <w:rPr>
          <w:rStyle w:val="rynqvb"/>
          <w:rFonts w:eastAsia="Georgia"/>
          <w:lang w:val="sq-AL"/>
        </w:rPr>
        <w:t>kana e</w:t>
      </w:r>
      <w:r w:rsidRPr="00CE5397">
        <w:rPr>
          <w:rStyle w:val="rynqvb"/>
          <w:rFonts w:eastAsia="Georgia"/>
          <w:lang w:val="sq-AL"/>
        </w:rPr>
        <w:t xml:space="preserve"> Pejës</w:t>
      </w:r>
      <w:r w:rsidRPr="00CE5397">
        <w:rPr>
          <w:lang w:val="sq-AL"/>
        </w:rPr>
        <w:t xml:space="preserve"> (А.nr. 3532/07</w:t>
      </w:r>
      <w:r w:rsidR="003B25C9">
        <w:rPr>
          <w:sz w:val="22"/>
          <w:szCs w:val="22"/>
        </w:rPr>
        <w:t>)</w:t>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D65C97">
        <w:trPr>
          <w:trHeight w:hRule="exact" w:val="422"/>
          <w:jc w:val="center"/>
        </w:trPr>
        <w:tc>
          <w:tcPr>
            <w:tcW w:w="14315" w:type="dxa"/>
            <w:gridSpan w:val="7"/>
            <w:tcBorders>
              <w:top w:val="single" w:sz="4" w:space="0" w:color="auto"/>
              <w:left w:val="single" w:sz="4" w:space="0" w:color="auto"/>
              <w:right w:val="single" w:sz="4" w:space="0" w:color="auto"/>
            </w:tcBorders>
            <w:shd w:val="clear" w:color="auto" w:fill="auto"/>
            <w:vAlign w:val="center"/>
          </w:tcPr>
          <w:p w:rsidR="00D65C97" w:rsidRDefault="00E418E6">
            <w:pPr>
              <w:pStyle w:val="Other0"/>
              <w:spacing w:after="0" w:line="240" w:lineRule="auto"/>
              <w:jc w:val="center"/>
              <w:rPr>
                <w:sz w:val="22"/>
                <w:szCs w:val="22"/>
              </w:rPr>
            </w:pPr>
            <w:r w:rsidRPr="00CE5397">
              <w:rPr>
                <w:b/>
                <w:bCs/>
                <w:lang w:val="sq-AL"/>
              </w:rPr>
              <w:lastRenderedPageBreak/>
              <w:t>ANEKSI NR. 3</w:t>
            </w:r>
          </w:p>
        </w:tc>
      </w:tr>
      <w:tr w:rsidR="00D65C97">
        <w:trPr>
          <w:trHeight w:hRule="exact" w:val="787"/>
          <w:jc w:val="center"/>
        </w:trPr>
        <w:tc>
          <w:tcPr>
            <w:tcW w:w="14315" w:type="dxa"/>
            <w:gridSpan w:val="7"/>
            <w:tcBorders>
              <w:top w:val="single" w:sz="4" w:space="0" w:color="auto"/>
              <w:left w:val="single" w:sz="4" w:space="0" w:color="auto"/>
              <w:right w:val="single" w:sz="4" w:space="0" w:color="auto"/>
            </w:tcBorders>
            <w:shd w:val="clear" w:color="auto" w:fill="auto"/>
            <w:vAlign w:val="center"/>
          </w:tcPr>
          <w:p w:rsidR="00D65C97" w:rsidRDefault="00E418E6">
            <w:pPr>
              <w:pStyle w:val="Other0"/>
              <w:spacing w:after="0"/>
              <w:jc w:val="center"/>
              <w:rPr>
                <w:sz w:val="22"/>
                <w:szCs w:val="22"/>
              </w:rPr>
            </w:pPr>
            <w:r w:rsidRPr="00CE5397">
              <w:rPr>
                <w:b/>
                <w:bCs/>
                <w:lang w:val="sq-AL"/>
              </w:rPr>
              <w:t>LËNDË „KRYESORE“ KUNDËR REPUBLIKËS SË MAQEDONISË SË VERIUT NË EKZEKUTIM NËN MBIKËQYRJEN E KOMITETIT TË MINISTRAVE</w:t>
            </w:r>
          </w:p>
        </w:tc>
      </w:tr>
      <w:tr w:rsidR="00E418E6">
        <w:trPr>
          <w:trHeight w:hRule="exact" w:val="1162"/>
          <w:jc w:val="center"/>
        </w:trPr>
        <w:tc>
          <w:tcPr>
            <w:tcW w:w="706" w:type="dxa"/>
            <w:tcBorders>
              <w:top w:val="single" w:sz="4" w:space="0" w:color="auto"/>
              <w:left w:val="single" w:sz="4" w:space="0" w:color="auto"/>
            </w:tcBorders>
            <w:shd w:val="clear" w:color="auto" w:fill="D4DDE4"/>
          </w:tcPr>
          <w:p w:rsidR="00E418E6" w:rsidRDefault="00E418E6">
            <w:pPr>
              <w:rPr>
                <w:sz w:val="10"/>
                <w:szCs w:val="10"/>
              </w:rPr>
            </w:pPr>
          </w:p>
        </w:tc>
        <w:tc>
          <w:tcPr>
            <w:tcW w:w="1709" w:type="dxa"/>
            <w:tcBorders>
              <w:top w:val="single" w:sz="4" w:space="0" w:color="auto"/>
              <w:left w:val="single" w:sz="4" w:space="0" w:color="auto"/>
            </w:tcBorders>
            <w:shd w:val="clear" w:color="auto" w:fill="D4DDE4"/>
            <w:vAlign w:val="center"/>
          </w:tcPr>
          <w:p w:rsidR="00E418E6" w:rsidRPr="00CE5397" w:rsidRDefault="00E418E6" w:rsidP="00C20371">
            <w:pPr>
              <w:pStyle w:val="Other0"/>
              <w:spacing w:after="0"/>
              <w:jc w:val="center"/>
              <w:rPr>
                <w:lang w:val="sq-AL"/>
              </w:rPr>
            </w:pPr>
            <w:r w:rsidRPr="00CE5397">
              <w:rPr>
                <w:b/>
                <w:bCs/>
                <w:lang w:val="sq-AL"/>
              </w:rPr>
              <w:t xml:space="preserve">Numri i aplikimit </w:t>
            </w:r>
          </w:p>
        </w:tc>
        <w:tc>
          <w:tcPr>
            <w:tcW w:w="1464" w:type="dxa"/>
            <w:tcBorders>
              <w:top w:val="single" w:sz="4" w:space="0" w:color="auto"/>
              <w:left w:val="single" w:sz="4" w:space="0" w:color="auto"/>
            </w:tcBorders>
            <w:shd w:val="clear" w:color="auto" w:fill="D4DDE4"/>
            <w:vAlign w:val="center"/>
          </w:tcPr>
          <w:p w:rsidR="00E418E6" w:rsidRPr="00CE5397" w:rsidRDefault="00E418E6" w:rsidP="00C20371">
            <w:pPr>
              <w:pStyle w:val="Other0"/>
              <w:spacing w:after="0"/>
              <w:ind w:firstLine="160"/>
              <w:rPr>
                <w:lang w:val="sq-AL"/>
              </w:rPr>
            </w:pPr>
            <w:r w:rsidRPr="00CE5397">
              <w:rPr>
                <w:b/>
                <w:bCs/>
                <w:lang w:val="sq-AL"/>
              </w:rPr>
              <w:t>Data e sjelljes së aktgjykimit  пресудата</w:t>
            </w:r>
          </w:p>
        </w:tc>
        <w:tc>
          <w:tcPr>
            <w:tcW w:w="1560" w:type="dxa"/>
            <w:tcBorders>
              <w:top w:val="single" w:sz="4" w:space="0" w:color="auto"/>
              <w:left w:val="single" w:sz="4" w:space="0" w:color="auto"/>
            </w:tcBorders>
            <w:shd w:val="clear" w:color="auto" w:fill="D4DDE4"/>
            <w:vAlign w:val="bottom"/>
          </w:tcPr>
          <w:p w:rsidR="00E418E6" w:rsidRPr="00CE5397" w:rsidRDefault="00E418E6" w:rsidP="00C20371">
            <w:pPr>
              <w:pStyle w:val="Other0"/>
              <w:spacing w:after="0"/>
              <w:rPr>
                <w:lang w:val="sq-AL"/>
              </w:rPr>
            </w:pPr>
            <w:r w:rsidRPr="00CE5397">
              <w:rPr>
                <w:b/>
                <w:bCs/>
                <w:lang w:val="sq-AL"/>
              </w:rPr>
              <w:t xml:space="preserve">Data e hyrjes në fuqi </w:t>
            </w:r>
          </w:p>
        </w:tc>
        <w:tc>
          <w:tcPr>
            <w:tcW w:w="2554" w:type="dxa"/>
            <w:tcBorders>
              <w:top w:val="single" w:sz="4" w:space="0" w:color="auto"/>
              <w:left w:val="single" w:sz="4" w:space="0" w:color="auto"/>
            </w:tcBorders>
            <w:shd w:val="clear" w:color="auto" w:fill="D4DDE4"/>
            <w:vAlign w:val="center"/>
          </w:tcPr>
          <w:p w:rsidR="00E418E6" w:rsidRPr="00CE5397" w:rsidRDefault="00E418E6" w:rsidP="00C20371">
            <w:pPr>
              <w:pStyle w:val="Other0"/>
              <w:spacing w:after="120" w:line="240" w:lineRule="auto"/>
              <w:ind w:firstLine="200"/>
              <w:rPr>
                <w:lang w:val="sq-AL"/>
              </w:rPr>
            </w:pPr>
            <w:r w:rsidRPr="00CE5397">
              <w:rPr>
                <w:b/>
                <w:bCs/>
                <w:lang w:val="sq-AL"/>
              </w:rPr>
              <w:t xml:space="preserve">Aplikanti/Kompania aplikant </w:t>
            </w:r>
          </w:p>
        </w:tc>
        <w:tc>
          <w:tcPr>
            <w:tcW w:w="4594" w:type="dxa"/>
            <w:tcBorders>
              <w:top w:val="single" w:sz="4" w:space="0" w:color="auto"/>
              <w:left w:val="single" w:sz="4" w:space="0" w:color="auto"/>
            </w:tcBorders>
            <w:shd w:val="clear" w:color="auto" w:fill="D4DDE4"/>
            <w:vAlign w:val="bottom"/>
          </w:tcPr>
          <w:p w:rsidR="00E418E6" w:rsidRPr="00CE5397" w:rsidRDefault="00E418E6" w:rsidP="00C20371">
            <w:pPr>
              <w:pStyle w:val="Other0"/>
              <w:spacing w:after="0" w:line="240" w:lineRule="auto"/>
              <w:jc w:val="center"/>
              <w:rPr>
                <w:lang w:val="sq-AL"/>
              </w:rPr>
            </w:pPr>
            <w:r w:rsidRPr="00CE5397">
              <w:rPr>
                <w:b/>
                <w:bCs/>
                <w:lang w:val="sq-AL"/>
              </w:rPr>
              <w:t xml:space="preserve">Lloji i lëndimit </w:t>
            </w:r>
          </w:p>
        </w:tc>
        <w:tc>
          <w:tcPr>
            <w:tcW w:w="1728" w:type="dxa"/>
            <w:tcBorders>
              <w:top w:val="single" w:sz="4" w:space="0" w:color="auto"/>
              <w:left w:val="single" w:sz="4" w:space="0" w:color="auto"/>
              <w:right w:val="single" w:sz="4" w:space="0" w:color="auto"/>
            </w:tcBorders>
            <w:shd w:val="clear" w:color="auto" w:fill="D4DDE4"/>
            <w:vAlign w:val="bottom"/>
          </w:tcPr>
          <w:p w:rsidR="00E418E6" w:rsidRPr="00CE5397" w:rsidRDefault="00E418E6" w:rsidP="00C20371">
            <w:pPr>
              <w:pStyle w:val="Other0"/>
              <w:spacing w:after="0" w:line="240" w:lineRule="auto"/>
              <w:rPr>
                <w:lang w:val="sq-AL"/>
              </w:rPr>
            </w:pPr>
            <w:r w:rsidRPr="00CE5397">
              <w:rPr>
                <w:b/>
                <w:bCs/>
                <w:lang w:val="sq-AL"/>
              </w:rPr>
              <w:t xml:space="preserve">Lloji i mbikëqyrjes </w:t>
            </w:r>
          </w:p>
        </w:tc>
      </w:tr>
      <w:tr w:rsidR="00D65C97">
        <w:trPr>
          <w:trHeight w:hRule="exact" w:val="3139"/>
          <w:jc w:val="center"/>
        </w:trPr>
        <w:tc>
          <w:tcPr>
            <w:tcW w:w="706" w:type="dxa"/>
            <w:tcBorders>
              <w:top w:val="single" w:sz="4" w:space="0" w:color="auto"/>
              <w:left w:val="single" w:sz="4" w:space="0" w:color="auto"/>
              <w:bottom w:val="single" w:sz="4" w:space="0" w:color="auto"/>
            </w:tcBorders>
            <w:shd w:val="clear" w:color="auto" w:fill="D4DDE4"/>
            <w:vAlign w:val="bottom"/>
          </w:tcPr>
          <w:p w:rsidR="00D65C97" w:rsidRDefault="003B25C9">
            <w:pPr>
              <w:pStyle w:val="Other0"/>
              <w:spacing w:after="0" w:line="240" w:lineRule="auto"/>
              <w:jc w:val="center"/>
              <w:rPr>
                <w:sz w:val="22"/>
                <w:szCs w:val="22"/>
              </w:rPr>
            </w:pPr>
            <w:r>
              <w:rPr>
                <w:sz w:val="22"/>
                <w:szCs w:val="22"/>
              </w:rPr>
              <w:t>1.</w:t>
            </w:r>
          </w:p>
        </w:tc>
        <w:tc>
          <w:tcPr>
            <w:tcW w:w="1709" w:type="dxa"/>
            <w:tcBorders>
              <w:top w:val="single" w:sz="4" w:space="0" w:color="auto"/>
              <w:left w:val="single" w:sz="4" w:space="0" w:color="auto"/>
              <w:bottom w:val="single" w:sz="4" w:space="0" w:color="auto"/>
            </w:tcBorders>
            <w:shd w:val="clear" w:color="auto" w:fill="D4DDE4"/>
            <w:vAlign w:val="bottom"/>
          </w:tcPr>
          <w:p w:rsidR="00D65C97" w:rsidRDefault="003B25C9" w:rsidP="00E418E6">
            <w:pPr>
              <w:pStyle w:val="Other0"/>
              <w:spacing w:after="0" w:line="240" w:lineRule="auto"/>
              <w:jc w:val="center"/>
              <w:rPr>
                <w:sz w:val="22"/>
                <w:szCs w:val="22"/>
              </w:rPr>
            </w:pPr>
            <w:r>
              <w:rPr>
                <w:sz w:val="22"/>
                <w:szCs w:val="22"/>
              </w:rPr>
              <w:t>А.</w:t>
            </w:r>
            <w:r w:rsidR="00E418E6">
              <w:rPr>
                <w:sz w:val="22"/>
                <w:szCs w:val="22"/>
              </w:rPr>
              <w:t>nr</w:t>
            </w:r>
            <w:r>
              <w:rPr>
                <w:sz w:val="22"/>
                <w:szCs w:val="22"/>
              </w:rPr>
              <w:t>. 53565/13</w:t>
            </w:r>
          </w:p>
        </w:tc>
        <w:tc>
          <w:tcPr>
            <w:tcW w:w="1464" w:type="dxa"/>
            <w:tcBorders>
              <w:top w:val="single" w:sz="4" w:space="0" w:color="auto"/>
              <w:left w:val="single" w:sz="4" w:space="0" w:color="auto"/>
              <w:bottom w:val="single" w:sz="4" w:space="0" w:color="auto"/>
            </w:tcBorders>
            <w:shd w:val="clear" w:color="auto" w:fill="D4DDE4"/>
            <w:vAlign w:val="bottom"/>
          </w:tcPr>
          <w:p w:rsidR="00D65C97" w:rsidRDefault="003B25C9">
            <w:pPr>
              <w:pStyle w:val="Other0"/>
              <w:spacing w:after="0" w:line="240" w:lineRule="auto"/>
              <w:jc w:val="center"/>
              <w:rPr>
                <w:sz w:val="22"/>
                <w:szCs w:val="22"/>
              </w:rPr>
            </w:pPr>
            <w:r>
              <w:rPr>
                <w:sz w:val="22"/>
                <w:szCs w:val="22"/>
              </w:rPr>
              <w:t>16.04.2015</w:t>
            </w:r>
          </w:p>
        </w:tc>
        <w:tc>
          <w:tcPr>
            <w:tcW w:w="1560" w:type="dxa"/>
            <w:tcBorders>
              <w:top w:val="single" w:sz="4" w:space="0" w:color="auto"/>
              <w:left w:val="single" w:sz="4" w:space="0" w:color="auto"/>
              <w:bottom w:val="single" w:sz="4" w:space="0" w:color="auto"/>
            </w:tcBorders>
            <w:shd w:val="clear" w:color="auto" w:fill="D4DDE4"/>
            <w:vAlign w:val="bottom"/>
          </w:tcPr>
          <w:p w:rsidR="00D65C97" w:rsidRDefault="003B25C9">
            <w:pPr>
              <w:pStyle w:val="Other0"/>
              <w:spacing w:after="0" w:line="240" w:lineRule="auto"/>
              <w:ind w:firstLine="300"/>
              <w:rPr>
                <w:sz w:val="22"/>
                <w:szCs w:val="22"/>
              </w:rPr>
            </w:pPr>
            <w:r>
              <w:rPr>
                <w:sz w:val="22"/>
                <w:szCs w:val="22"/>
              </w:rPr>
              <w:t>16.07.2015</w:t>
            </w:r>
          </w:p>
        </w:tc>
        <w:tc>
          <w:tcPr>
            <w:tcW w:w="2554" w:type="dxa"/>
            <w:tcBorders>
              <w:top w:val="single" w:sz="4" w:space="0" w:color="auto"/>
              <w:left w:val="single" w:sz="4" w:space="0" w:color="auto"/>
              <w:bottom w:val="single" w:sz="4" w:space="0" w:color="auto"/>
            </w:tcBorders>
            <w:shd w:val="clear" w:color="auto" w:fill="D4DDE4"/>
            <w:vAlign w:val="bottom"/>
          </w:tcPr>
          <w:p w:rsidR="00D65C97" w:rsidRDefault="00E418E6">
            <w:pPr>
              <w:pStyle w:val="Other0"/>
              <w:spacing w:after="0" w:line="240" w:lineRule="auto"/>
              <w:jc w:val="center"/>
              <w:rPr>
                <w:sz w:val="22"/>
                <w:szCs w:val="22"/>
              </w:rPr>
            </w:pPr>
            <w:r w:rsidRPr="00CE5397">
              <w:rPr>
                <w:b/>
                <w:bCs/>
                <w:lang w:val="sq-AL"/>
              </w:rPr>
              <w:t>MITOVI</w:t>
            </w:r>
          </w:p>
        </w:tc>
        <w:tc>
          <w:tcPr>
            <w:tcW w:w="4594" w:type="dxa"/>
            <w:tcBorders>
              <w:top w:val="single" w:sz="4" w:space="0" w:color="auto"/>
              <w:left w:val="single" w:sz="4" w:space="0" w:color="auto"/>
              <w:bottom w:val="single" w:sz="4" w:space="0" w:color="auto"/>
            </w:tcBorders>
            <w:shd w:val="clear" w:color="auto" w:fill="D4DDE4"/>
            <w:vAlign w:val="center"/>
          </w:tcPr>
          <w:p w:rsidR="00E418E6" w:rsidRPr="00CE5397" w:rsidRDefault="00E418E6" w:rsidP="00E418E6">
            <w:pPr>
              <w:pStyle w:val="Other0"/>
              <w:spacing w:after="120" w:line="240" w:lineRule="auto"/>
              <w:jc w:val="center"/>
              <w:rPr>
                <w:lang w:val="sq-AL"/>
              </w:rPr>
            </w:pPr>
            <w:r w:rsidRPr="00CE5397">
              <w:rPr>
                <w:b/>
                <w:bCs/>
                <w:lang w:val="sq-AL"/>
              </w:rPr>
              <w:t>Neni 8 i Konventës</w:t>
            </w:r>
          </w:p>
          <w:p w:rsidR="00E418E6" w:rsidRPr="00CE5397" w:rsidRDefault="00E418E6" w:rsidP="00E418E6">
            <w:pPr>
              <w:pStyle w:val="Other0"/>
              <w:spacing w:after="0" w:line="240" w:lineRule="auto"/>
              <w:jc w:val="center"/>
              <w:rPr>
                <w:lang w:val="sq-AL"/>
              </w:rPr>
            </w:pPr>
            <w:r w:rsidRPr="00CE5397">
              <w:rPr>
                <w:rStyle w:val="rynqvb"/>
                <w:rFonts w:eastAsia="Georgia"/>
                <w:lang w:val="sq-AL"/>
              </w:rPr>
              <w:t>cenimi i të drejtës së aplikantëve (babai, gjyshja dhe gjyshi) për respektimin e jetës së tyre familjare, si pasojë e dështimit të autoriteteve shtetërore për të ndërmarrë përpjekjet e duhura dhe efektive për zbatimin e vendimeve për shikim të sjella nga Qendra për Punë Sociale</w:t>
            </w:r>
            <w:r w:rsidRPr="00CE5397">
              <w:rPr>
                <w:lang w:val="sq-AL"/>
              </w:rPr>
              <w:t>;</w:t>
            </w:r>
          </w:p>
          <w:p w:rsidR="00E418E6" w:rsidRPr="00CE5397" w:rsidRDefault="00E418E6" w:rsidP="00E418E6">
            <w:pPr>
              <w:pStyle w:val="Other0"/>
              <w:spacing w:after="0" w:line="240" w:lineRule="auto"/>
              <w:jc w:val="center"/>
              <w:rPr>
                <w:lang w:val="sq-AL"/>
              </w:rPr>
            </w:pPr>
            <w:r w:rsidRPr="00CE5397">
              <w:rPr>
                <w:b/>
                <w:bCs/>
                <w:lang w:val="sq-AL"/>
              </w:rPr>
              <w:t>Neni 13 i Konventës</w:t>
            </w:r>
          </w:p>
          <w:p w:rsidR="00D65C97" w:rsidRDefault="00E418E6" w:rsidP="00E418E6">
            <w:pPr>
              <w:pStyle w:val="Other0"/>
              <w:spacing w:after="60" w:line="240" w:lineRule="auto"/>
              <w:jc w:val="center"/>
              <w:rPr>
                <w:sz w:val="22"/>
                <w:szCs w:val="22"/>
              </w:rPr>
            </w:pPr>
            <w:r w:rsidRPr="00CE5397">
              <w:rPr>
                <w:rStyle w:val="rynqvb"/>
                <w:rFonts w:eastAsia="Georgia"/>
                <w:lang w:val="sq-AL"/>
              </w:rPr>
              <w:t>mungesa e mjetit juridik efektiv sipas Nenit 8 të Konventës</w:t>
            </w:r>
          </w:p>
        </w:tc>
        <w:tc>
          <w:tcPr>
            <w:tcW w:w="1728" w:type="dxa"/>
            <w:tcBorders>
              <w:top w:val="single" w:sz="4" w:space="0" w:color="auto"/>
              <w:left w:val="single" w:sz="4" w:space="0" w:color="auto"/>
              <w:bottom w:val="single" w:sz="4" w:space="0" w:color="auto"/>
              <w:right w:val="single" w:sz="4" w:space="0" w:color="auto"/>
            </w:tcBorders>
            <w:shd w:val="clear" w:color="auto" w:fill="D4DDE4"/>
            <w:vAlign w:val="bottom"/>
          </w:tcPr>
          <w:p w:rsidR="00D65C97" w:rsidRDefault="00E418E6" w:rsidP="00E418E6">
            <w:pPr>
              <w:pStyle w:val="Other0"/>
              <w:spacing w:after="0" w:line="240" w:lineRule="auto"/>
              <w:ind w:left="460"/>
              <w:rPr>
                <w:sz w:val="22"/>
                <w:szCs w:val="22"/>
              </w:rPr>
            </w:pPr>
            <w:r w:rsidRPr="00CE5397">
              <w:rPr>
                <w:lang w:val="sq-AL"/>
              </w:rPr>
              <w:t>Mbikëqyrje standarde</w:t>
            </w:r>
          </w:p>
        </w:tc>
      </w:tr>
    </w:tbl>
    <w:p w:rsidR="00D65C97" w:rsidRDefault="003B25C9">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1A0CBD">
        <w:trPr>
          <w:trHeight w:hRule="exact" w:val="3701"/>
          <w:jc w:val="center"/>
        </w:trPr>
        <w:tc>
          <w:tcPr>
            <w:tcW w:w="706" w:type="dxa"/>
            <w:tcBorders>
              <w:top w:val="single" w:sz="4" w:space="0" w:color="auto"/>
              <w:left w:val="single" w:sz="4" w:space="0" w:color="auto"/>
            </w:tcBorders>
            <w:shd w:val="clear" w:color="auto" w:fill="D4DDE4"/>
            <w:vAlign w:val="center"/>
          </w:tcPr>
          <w:p w:rsidR="001A0CBD" w:rsidRDefault="001A0CBD">
            <w:pPr>
              <w:pStyle w:val="Other0"/>
              <w:spacing w:after="0" w:line="240" w:lineRule="auto"/>
              <w:jc w:val="center"/>
              <w:rPr>
                <w:sz w:val="22"/>
                <w:szCs w:val="22"/>
              </w:rPr>
            </w:pPr>
            <w:r>
              <w:rPr>
                <w:sz w:val="22"/>
                <w:szCs w:val="22"/>
              </w:rPr>
              <w:lastRenderedPageBreak/>
              <w:t>2.</w:t>
            </w:r>
          </w:p>
        </w:tc>
        <w:tc>
          <w:tcPr>
            <w:tcW w:w="1709" w:type="dxa"/>
            <w:tcBorders>
              <w:top w:val="single" w:sz="4" w:space="0" w:color="auto"/>
              <w:left w:val="single" w:sz="4" w:space="0" w:color="auto"/>
            </w:tcBorders>
            <w:shd w:val="clear" w:color="auto" w:fill="D4DDE4"/>
            <w:vAlign w:val="center"/>
          </w:tcPr>
          <w:p w:rsidR="001A0CBD" w:rsidRPr="00C1447F" w:rsidRDefault="001A0CBD" w:rsidP="00C20371">
            <w:pPr>
              <w:pStyle w:val="Other0"/>
              <w:spacing w:after="0" w:line="240" w:lineRule="auto"/>
              <w:jc w:val="center"/>
              <w:rPr>
                <w:sz w:val="22"/>
                <w:szCs w:val="22"/>
                <w:lang w:val="sq-AL"/>
              </w:rPr>
            </w:pPr>
            <w:r w:rsidRPr="00C1447F">
              <w:rPr>
                <w:sz w:val="22"/>
                <w:szCs w:val="22"/>
                <w:lang w:val="sq-AL"/>
              </w:rPr>
              <w:t>А. nr. 15191/12</w:t>
            </w:r>
          </w:p>
        </w:tc>
        <w:tc>
          <w:tcPr>
            <w:tcW w:w="1464" w:type="dxa"/>
            <w:tcBorders>
              <w:top w:val="single" w:sz="4" w:space="0" w:color="auto"/>
              <w:left w:val="single" w:sz="4" w:space="0" w:color="auto"/>
            </w:tcBorders>
            <w:shd w:val="clear" w:color="auto" w:fill="D4DDE4"/>
            <w:vAlign w:val="center"/>
          </w:tcPr>
          <w:p w:rsidR="001A0CBD" w:rsidRPr="00C1447F" w:rsidRDefault="001A0CBD" w:rsidP="00C20371">
            <w:pPr>
              <w:pStyle w:val="Other0"/>
              <w:spacing w:after="0" w:line="240" w:lineRule="auto"/>
              <w:ind w:firstLine="240"/>
              <w:rPr>
                <w:sz w:val="22"/>
                <w:szCs w:val="22"/>
                <w:lang w:val="sq-AL"/>
              </w:rPr>
            </w:pPr>
            <w:r w:rsidRPr="00C1447F">
              <w:rPr>
                <w:sz w:val="22"/>
                <w:szCs w:val="22"/>
                <w:lang w:val="sq-AL"/>
              </w:rPr>
              <w:t>22.01.2015</w:t>
            </w:r>
          </w:p>
        </w:tc>
        <w:tc>
          <w:tcPr>
            <w:tcW w:w="1560" w:type="dxa"/>
            <w:tcBorders>
              <w:top w:val="single" w:sz="4" w:space="0" w:color="auto"/>
              <w:left w:val="single" w:sz="4" w:space="0" w:color="auto"/>
            </w:tcBorders>
            <w:shd w:val="clear" w:color="auto" w:fill="D4DDE4"/>
            <w:vAlign w:val="center"/>
          </w:tcPr>
          <w:p w:rsidR="001A0CBD" w:rsidRPr="00C1447F" w:rsidRDefault="001A0CBD" w:rsidP="00C20371">
            <w:pPr>
              <w:pStyle w:val="Other0"/>
              <w:spacing w:after="0" w:line="240" w:lineRule="auto"/>
              <w:ind w:firstLine="300"/>
              <w:rPr>
                <w:sz w:val="22"/>
                <w:szCs w:val="22"/>
                <w:lang w:val="sq-AL"/>
              </w:rPr>
            </w:pPr>
            <w:r w:rsidRPr="00C1447F">
              <w:rPr>
                <w:sz w:val="22"/>
                <w:szCs w:val="22"/>
                <w:lang w:val="sq-AL"/>
              </w:rPr>
              <w:t>22.04.2015</w:t>
            </w:r>
          </w:p>
        </w:tc>
        <w:tc>
          <w:tcPr>
            <w:tcW w:w="2554" w:type="dxa"/>
            <w:tcBorders>
              <w:top w:val="single" w:sz="4" w:space="0" w:color="auto"/>
              <w:left w:val="single" w:sz="4" w:space="0" w:color="auto"/>
            </w:tcBorders>
            <w:shd w:val="clear" w:color="auto" w:fill="D4DDE4"/>
            <w:vAlign w:val="center"/>
          </w:tcPr>
          <w:p w:rsidR="001A0CBD" w:rsidRPr="00CE5397" w:rsidRDefault="001A0CBD" w:rsidP="00C20371">
            <w:pPr>
              <w:pStyle w:val="Other0"/>
              <w:spacing w:after="0" w:line="240" w:lineRule="auto"/>
              <w:jc w:val="center"/>
              <w:rPr>
                <w:lang w:val="sq-AL"/>
              </w:rPr>
            </w:pPr>
            <w:r w:rsidRPr="00CE5397">
              <w:rPr>
                <w:b/>
                <w:bCs/>
                <w:lang w:val="sq-AL"/>
              </w:rPr>
              <w:t>KITANOVSKI</w:t>
            </w:r>
          </w:p>
        </w:tc>
        <w:tc>
          <w:tcPr>
            <w:tcW w:w="4594" w:type="dxa"/>
            <w:tcBorders>
              <w:top w:val="single" w:sz="4" w:space="0" w:color="auto"/>
              <w:left w:val="single" w:sz="4" w:space="0" w:color="auto"/>
            </w:tcBorders>
            <w:shd w:val="clear" w:color="auto" w:fill="D4DDE4"/>
            <w:vAlign w:val="center"/>
          </w:tcPr>
          <w:p w:rsidR="001A0CBD" w:rsidRPr="00CE5397" w:rsidRDefault="001A0CBD" w:rsidP="00C20371">
            <w:pPr>
              <w:pStyle w:val="Other0"/>
              <w:spacing w:after="360" w:line="240" w:lineRule="auto"/>
              <w:jc w:val="center"/>
              <w:rPr>
                <w:lang w:val="sq-AL"/>
              </w:rPr>
            </w:pPr>
            <w:r w:rsidRPr="00CE5397">
              <w:rPr>
                <w:b/>
                <w:bCs/>
                <w:lang w:val="sq-AL"/>
              </w:rPr>
              <w:t xml:space="preserve">Neni 2 i Konventës (aspekti material) </w:t>
            </w:r>
            <w:r w:rsidRPr="00CE5397">
              <w:rPr>
                <w:lang w:val="sq-AL"/>
              </w:rPr>
              <w:t>përdorimi</w:t>
            </w:r>
            <w:r>
              <w:rPr>
                <w:lang w:val="sq-AL"/>
              </w:rPr>
              <w:t xml:space="preserve"> </w:t>
            </w:r>
            <w:r w:rsidRPr="00CE5397">
              <w:rPr>
                <w:lang w:val="sq-AL"/>
              </w:rPr>
              <w:t xml:space="preserve">i </w:t>
            </w:r>
            <w:r w:rsidRPr="00CE5397">
              <w:rPr>
                <w:rStyle w:val="rynqvb"/>
                <w:rFonts w:eastAsia="Georgia"/>
                <w:lang w:val="sq-AL"/>
              </w:rPr>
              <w:t>trajtimit kërcënues për jetën nga punonjësit e policisë</w:t>
            </w:r>
            <w:r w:rsidRPr="00CE5397">
              <w:rPr>
                <w:lang w:val="sq-AL"/>
              </w:rPr>
              <w:t>;</w:t>
            </w:r>
          </w:p>
          <w:p w:rsidR="001A0CBD" w:rsidRPr="00CE5397" w:rsidRDefault="001A0CBD" w:rsidP="00C20371">
            <w:pPr>
              <w:pStyle w:val="Other0"/>
              <w:spacing w:after="360" w:line="240" w:lineRule="auto"/>
              <w:jc w:val="center"/>
              <w:rPr>
                <w:lang w:val="sq-AL"/>
              </w:rPr>
            </w:pPr>
            <w:r w:rsidRPr="00CE5397">
              <w:rPr>
                <w:b/>
                <w:bCs/>
                <w:lang w:val="sq-AL"/>
              </w:rPr>
              <w:t xml:space="preserve">Neni 3 i Konventës (aspekti material) </w:t>
            </w:r>
            <w:r w:rsidRPr="00CE5397">
              <w:rPr>
                <w:rStyle w:val="rynqvb"/>
                <w:rFonts w:eastAsia="Georgia"/>
                <w:lang w:val="sq-AL"/>
              </w:rPr>
              <w:t>trajtim degradues nga punonjësit e policisë gjatë arrestimit të tij</w:t>
            </w:r>
            <w:r w:rsidRPr="00CE5397">
              <w:rPr>
                <w:lang w:val="sq-AL"/>
              </w:rPr>
              <w:t>;</w:t>
            </w:r>
          </w:p>
          <w:p w:rsidR="001A0CBD" w:rsidRPr="00CE5397" w:rsidRDefault="001A0CBD" w:rsidP="00C20371">
            <w:pPr>
              <w:pStyle w:val="Other0"/>
              <w:spacing w:after="360" w:line="240" w:lineRule="auto"/>
              <w:jc w:val="center"/>
              <w:rPr>
                <w:lang w:val="sq-AL"/>
              </w:rPr>
            </w:pPr>
            <w:r w:rsidRPr="00CE5397">
              <w:rPr>
                <w:b/>
                <w:bCs/>
                <w:lang w:val="sq-AL"/>
              </w:rPr>
              <w:t>Neni 2 dhe 3 i Konventës (</w:t>
            </w:r>
            <w:r w:rsidRPr="00CE5397">
              <w:rPr>
                <w:rStyle w:val="rynqvb"/>
                <w:rFonts w:eastAsia="Georgia"/>
                <w:b/>
                <w:lang w:val="sq-AL"/>
              </w:rPr>
              <w:t>aspekti i procesit</w:t>
            </w:r>
            <w:r w:rsidRPr="00CE5397">
              <w:rPr>
                <w:b/>
                <w:bCs/>
                <w:lang w:val="sq-AL"/>
              </w:rPr>
              <w:t xml:space="preserve">) </w:t>
            </w:r>
            <w:r w:rsidRPr="00CE5397">
              <w:rPr>
                <w:rStyle w:val="rynqvb"/>
                <w:rFonts w:eastAsia="Georgia"/>
                <w:lang w:val="sq-AL"/>
              </w:rPr>
              <w:t>mungesa e hetimit efektiv për pretendimet e aplikantit për trajtim kërcënues për jetën dhe degradues nga oficerët e policisë</w:t>
            </w:r>
          </w:p>
        </w:tc>
        <w:tc>
          <w:tcPr>
            <w:tcW w:w="1728" w:type="dxa"/>
            <w:tcBorders>
              <w:top w:val="single" w:sz="4" w:space="0" w:color="auto"/>
              <w:left w:val="single" w:sz="4" w:space="0" w:color="auto"/>
              <w:right w:val="single" w:sz="4" w:space="0" w:color="auto"/>
            </w:tcBorders>
            <w:shd w:val="clear" w:color="auto" w:fill="D4DDE4"/>
            <w:vAlign w:val="center"/>
          </w:tcPr>
          <w:p w:rsidR="001A0CBD" w:rsidRPr="00CE5397" w:rsidRDefault="001A0CBD" w:rsidP="00C20371">
            <w:pPr>
              <w:pStyle w:val="Other0"/>
              <w:spacing w:after="0" w:line="240" w:lineRule="auto"/>
              <w:jc w:val="center"/>
              <w:rPr>
                <w:lang w:val="sq-AL"/>
              </w:rPr>
            </w:pPr>
            <w:r w:rsidRPr="00CE5397">
              <w:rPr>
                <w:lang w:val="sq-AL"/>
              </w:rPr>
              <w:t xml:space="preserve">Mbikëqyrje e përforcuar </w:t>
            </w:r>
          </w:p>
        </w:tc>
      </w:tr>
      <w:tr w:rsidR="001A0CBD">
        <w:trPr>
          <w:trHeight w:hRule="exact" w:val="1920"/>
          <w:jc w:val="center"/>
        </w:trPr>
        <w:tc>
          <w:tcPr>
            <w:tcW w:w="706" w:type="dxa"/>
            <w:tcBorders>
              <w:top w:val="single" w:sz="4" w:space="0" w:color="auto"/>
              <w:left w:val="single" w:sz="4" w:space="0" w:color="auto"/>
            </w:tcBorders>
            <w:shd w:val="clear" w:color="auto" w:fill="D4DDE4"/>
            <w:vAlign w:val="center"/>
          </w:tcPr>
          <w:p w:rsidR="001A0CBD" w:rsidRDefault="001A0CBD">
            <w:pPr>
              <w:pStyle w:val="Other0"/>
              <w:spacing w:after="0" w:line="240" w:lineRule="auto"/>
              <w:jc w:val="center"/>
              <w:rPr>
                <w:sz w:val="22"/>
                <w:szCs w:val="22"/>
              </w:rPr>
            </w:pPr>
            <w:r>
              <w:rPr>
                <w:sz w:val="22"/>
                <w:szCs w:val="22"/>
              </w:rPr>
              <w:t>3.</w:t>
            </w:r>
          </w:p>
        </w:tc>
        <w:tc>
          <w:tcPr>
            <w:tcW w:w="1709" w:type="dxa"/>
            <w:tcBorders>
              <w:top w:val="single" w:sz="4" w:space="0" w:color="auto"/>
              <w:left w:val="single" w:sz="4" w:space="0" w:color="auto"/>
            </w:tcBorders>
            <w:shd w:val="clear" w:color="auto" w:fill="D4DDE4"/>
            <w:vAlign w:val="center"/>
          </w:tcPr>
          <w:p w:rsidR="001A0CBD" w:rsidRPr="00C1447F" w:rsidRDefault="001A0CBD" w:rsidP="00C20371">
            <w:pPr>
              <w:pStyle w:val="Other0"/>
              <w:spacing w:after="0" w:line="240" w:lineRule="auto"/>
              <w:jc w:val="center"/>
              <w:rPr>
                <w:sz w:val="22"/>
                <w:szCs w:val="22"/>
                <w:lang w:val="sq-AL"/>
              </w:rPr>
            </w:pPr>
            <w:r w:rsidRPr="00C1447F">
              <w:rPr>
                <w:sz w:val="22"/>
                <w:szCs w:val="22"/>
                <w:lang w:val="sq-AL"/>
              </w:rPr>
              <w:t>А. nr. 28169/08</w:t>
            </w:r>
          </w:p>
        </w:tc>
        <w:tc>
          <w:tcPr>
            <w:tcW w:w="1464" w:type="dxa"/>
            <w:tcBorders>
              <w:top w:val="single" w:sz="4" w:space="0" w:color="auto"/>
              <w:left w:val="single" w:sz="4" w:space="0" w:color="auto"/>
            </w:tcBorders>
            <w:shd w:val="clear" w:color="auto" w:fill="D4DDE4"/>
            <w:vAlign w:val="center"/>
          </w:tcPr>
          <w:p w:rsidR="001A0CBD" w:rsidRPr="00C1447F" w:rsidRDefault="001A0CBD" w:rsidP="00C20371">
            <w:pPr>
              <w:pStyle w:val="Other0"/>
              <w:spacing w:after="0" w:line="240" w:lineRule="auto"/>
              <w:ind w:firstLine="240"/>
              <w:rPr>
                <w:sz w:val="22"/>
                <w:szCs w:val="22"/>
                <w:lang w:val="sq-AL"/>
              </w:rPr>
            </w:pPr>
            <w:r w:rsidRPr="00C1447F">
              <w:rPr>
                <w:sz w:val="22"/>
                <w:szCs w:val="22"/>
                <w:lang w:val="sq-AL"/>
              </w:rPr>
              <w:t>28.10.2010</w:t>
            </w:r>
          </w:p>
        </w:tc>
        <w:tc>
          <w:tcPr>
            <w:tcW w:w="1560" w:type="dxa"/>
            <w:tcBorders>
              <w:top w:val="single" w:sz="4" w:space="0" w:color="auto"/>
              <w:left w:val="single" w:sz="4" w:space="0" w:color="auto"/>
            </w:tcBorders>
            <w:shd w:val="clear" w:color="auto" w:fill="D4DDE4"/>
            <w:vAlign w:val="center"/>
          </w:tcPr>
          <w:p w:rsidR="001A0CBD" w:rsidRPr="00C1447F" w:rsidRDefault="001A0CBD" w:rsidP="00C20371">
            <w:pPr>
              <w:pStyle w:val="Other0"/>
              <w:spacing w:after="0" w:line="240" w:lineRule="auto"/>
              <w:ind w:firstLine="300"/>
              <w:rPr>
                <w:sz w:val="22"/>
                <w:szCs w:val="22"/>
                <w:lang w:val="sq-AL"/>
              </w:rPr>
            </w:pPr>
            <w:r w:rsidRPr="00C1447F">
              <w:rPr>
                <w:sz w:val="22"/>
                <w:szCs w:val="22"/>
                <w:lang w:val="sq-AL"/>
              </w:rPr>
              <w:t>28.01.2011</w:t>
            </w:r>
          </w:p>
        </w:tc>
        <w:tc>
          <w:tcPr>
            <w:tcW w:w="2554" w:type="dxa"/>
            <w:tcBorders>
              <w:top w:val="single" w:sz="4" w:space="0" w:color="auto"/>
              <w:left w:val="single" w:sz="4" w:space="0" w:color="auto"/>
            </w:tcBorders>
            <w:shd w:val="clear" w:color="auto" w:fill="D4DDE4"/>
            <w:vAlign w:val="center"/>
          </w:tcPr>
          <w:p w:rsidR="001A0CBD" w:rsidRPr="00CE5397" w:rsidRDefault="001A0CBD" w:rsidP="00C20371">
            <w:pPr>
              <w:pStyle w:val="Other0"/>
              <w:spacing w:after="0" w:line="240" w:lineRule="auto"/>
              <w:jc w:val="center"/>
              <w:rPr>
                <w:b/>
                <w:lang w:val="sq-AL"/>
              </w:rPr>
            </w:pPr>
            <w:r w:rsidRPr="00CE5397">
              <w:rPr>
                <w:rStyle w:val="rynqvb"/>
                <w:rFonts w:eastAsia="Georgia"/>
                <w:b/>
                <w:lang w:val="sq-AL"/>
              </w:rPr>
              <w:t>VASILKOSKI DHE TË TJERË</w:t>
            </w:r>
          </w:p>
        </w:tc>
        <w:tc>
          <w:tcPr>
            <w:tcW w:w="4594" w:type="dxa"/>
            <w:tcBorders>
              <w:top w:val="single" w:sz="4" w:space="0" w:color="auto"/>
              <w:left w:val="single" w:sz="4" w:space="0" w:color="auto"/>
            </w:tcBorders>
            <w:shd w:val="clear" w:color="auto" w:fill="D4DDE4"/>
            <w:vAlign w:val="center"/>
          </w:tcPr>
          <w:p w:rsidR="001A0CBD" w:rsidRPr="00CE5397" w:rsidRDefault="001A0CBD" w:rsidP="00C20371">
            <w:pPr>
              <w:pStyle w:val="Other0"/>
              <w:spacing w:after="0" w:line="240" w:lineRule="auto"/>
              <w:jc w:val="center"/>
              <w:rPr>
                <w:lang w:val="sq-AL"/>
              </w:rPr>
            </w:pPr>
            <w:r w:rsidRPr="00CE5397">
              <w:rPr>
                <w:b/>
                <w:bCs/>
                <w:lang w:val="sq-AL"/>
              </w:rPr>
              <w:t xml:space="preserve">Neni 5 § 3 i Konventës </w:t>
            </w:r>
            <w:r w:rsidRPr="00CE5397">
              <w:rPr>
                <w:rStyle w:val="rynqvb"/>
                <w:rFonts w:eastAsia="Georgia"/>
                <w:lang w:val="sq-AL"/>
              </w:rPr>
              <w:t>mungesa e arsyeve specifike dhe të pamjaftueshme të argumentuara për paraburgimin e aplikantëve</w:t>
            </w:r>
            <w:r w:rsidRPr="00CE5397">
              <w:rPr>
                <w:lang w:val="sq-AL"/>
              </w:rPr>
              <w:t>;</w:t>
            </w:r>
          </w:p>
        </w:tc>
        <w:tc>
          <w:tcPr>
            <w:tcW w:w="1728" w:type="dxa"/>
            <w:tcBorders>
              <w:top w:val="single" w:sz="4" w:space="0" w:color="auto"/>
              <w:left w:val="single" w:sz="4" w:space="0" w:color="auto"/>
              <w:right w:val="single" w:sz="4" w:space="0" w:color="auto"/>
            </w:tcBorders>
            <w:shd w:val="clear" w:color="auto" w:fill="D4DDE4"/>
            <w:vAlign w:val="center"/>
          </w:tcPr>
          <w:p w:rsidR="001A0CBD" w:rsidRPr="00CE5397" w:rsidRDefault="001A0CBD" w:rsidP="00C20371">
            <w:pPr>
              <w:pStyle w:val="Other0"/>
              <w:spacing w:after="0" w:line="240" w:lineRule="auto"/>
              <w:jc w:val="center"/>
              <w:rPr>
                <w:lang w:val="sq-AL"/>
              </w:rPr>
            </w:pPr>
            <w:r w:rsidRPr="00CE5397">
              <w:rPr>
                <w:lang w:val="sq-AL"/>
              </w:rPr>
              <w:t>Mbikëqyrje standarde</w:t>
            </w:r>
          </w:p>
        </w:tc>
      </w:tr>
      <w:tr w:rsidR="001A0CBD">
        <w:trPr>
          <w:trHeight w:hRule="exact" w:val="2400"/>
          <w:jc w:val="center"/>
        </w:trPr>
        <w:tc>
          <w:tcPr>
            <w:tcW w:w="706" w:type="dxa"/>
            <w:tcBorders>
              <w:top w:val="single" w:sz="4" w:space="0" w:color="auto"/>
              <w:left w:val="single" w:sz="4" w:space="0" w:color="auto"/>
              <w:bottom w:val="single" w:sz="4" w:space="0" w:color="auto"/>
            </w:tcBorders>
            <w:shd w:val="clear" w:color="auto" w:fill="D4DDE4"/>
            <w:vAlign w:val="center"/>
          </w:tcPr>
          <w:p w:rsidR="001A0CBD" w:rsidRDefault="001A0CBD">
            <w:pPr>
              <w:pStyle w:val="Other0"/>
              <w:spacing w:after="0" w:line="240" w:lineRule="auto"/>
              <w:jc w:val="center"/>
              <w:rPr>
                <w:sz w:val="22"/>
                <w:szCs w:val="22"/>
              </w:rPr>
            </w:pPr>
            <w:r>
              <w:rPr>
                <w:sz w:val="22"/>
                <w:szCs w:val="22"/>
              </w:rPr>
              <w:t>4.</w:t>
            </w:r>
          </w:p>
        </w:tc>
        <w:tc>
          <w:tcPr>
            <w:tcW w:w="1709" w:type="dxa"/>
            <w:tcBorders>
              <w:top w:val="single" w:sz="4" w:space="0" w:color="auto"/>
              <w:left w:val="single" w:sz="4" w:space="0" w:color="auto"/>
              <w:bottom w:val="single" w:sz="4" w:space="0" w:color="auto"/>
            </w:tcBorders>
            <w:shd w:val="clear" w:color="auto" w:fill="D4DDE4"/>
            <w:vAlign w:val="center"/>
          </w:tcPr>
          <w:p w:rsidR="001A0CBD" w:rsidRPr="00C1447F" w:rsidRDefault="001A0CBD" w:rsidP="00C20371">
            <w:pPr>
              <w:pStyle w:val="Other0"/>
              <w:spacing w:after="0" w:line="240" w:lineRule="auto"/>
              <w:jc w:val="center"/>
              <w:rPr>
                <w:sz w:val="22"/>
                <w:szCs w:val="22"/>
                <w:lang w:val="sq-AL"/>
              </w:rPr>
            </w:pPr>
            <w:r w:rsidRPr="00C1447F">
              <w:rPr>
                <w:sz w:val="22"/>
                <w:szCs w:val="22"/>
                <w:lang w:val="sq-AL"/>
              </w:rPr>
              <w:t>А. nr. 29683/16</w:t>
            </w:r>
          </w:p>
        </w:tc>
        <w:tc>
          <w:tcPr>
            <w:tcW w:w="1464" w:type="dxa"/>
            <w:tcBorders>
              <w:top w:val="single" w:sz="4" w:space="0" w:color="auto"/>
              <w:left w:val="single" w:sz="4" w:space="0" w:color="auto"/>
              <w:bottom w:val="single" w:sz="4" w:space="0" w:color="auto"/>
            </w:tcBorders>
            <w:shd w:val="clear" w:color="auto" w:fill="D4DDE4"/>
            <w:vAlign w:val="center"/>
          </w:tcPr>
          <w:p w:rsidR="001A0CBD" w:rsidRPr="00C1447F" w:rsidRDefault="001A0CBD" w:rsidP="00C20371">
            <w:pPr>
              <w:pStyle w:val="Other0"/>
              <w:spacing w:after="0" w:line="240" w:lineRule="auto"/>
              <w:ind w:firstLine="240"/>
              <w:rPr>
                <w:sz w:val="22"/>
                <w:szCs w:val="22"/>
                <w:lang w:val="sq-AL"/>
              </w:rPr>
            </w:pPr>
            <w:r w:rsidRPr="00C1447F">
              <w:rPr>
                <w:sz w:val="22"/>
                <w:szCs w:val="22"/>
                <w:lang w:val="sq-AL"/>
              </w:rPr>
              <w:t>17.01.2019</w:t>
            </w:r>
          </w:p>
        </w:tc>
        <w:tc>
          <w:tcPr>
            <w:tcW w:w="1560" w:type="dxa"/>
            <w:tcBorders>
              <w:top w:val="single" w:sz="4" w:space="0" w:color="auto"/>
              <w:left w:val="single" w:sz="4" w:space="0" w:color="auto"/>
              <w:bottom w:val="single" w:sz="4" w:space="0" w:color="auto"/>
            </w:tcBorders>
            <w:shd w:val="clear" w:color="auto" w:fill="D4DDE4"/>
            <w:vAlign w:val="center"/>
          </w:tcPr>
          <w:p w:rsidR="001A0CBD" w:rsidRPr="00C1447F" w:rsidRDefault="001A0CBD" w:rsidP="00C20371">
            <w:pPr>
              <w:pStyle w:val="Other0"/>
              <w:spacing w:after="0" w:line="240" w:lineRule="auto"/>
              <w:ind w:firstLine="300"/>
              <w:rPr>
                <w:sz w:val="22"/>
                <w:szCs w:val="22"/>
                <w:lang w:val="sq-AL"/>
              </w:rPr>
            </w:pPr>
            <w:r w:rsidRPr="00C1447F">
              <w:rPr>
                <w:sz w:val="22"/>
                <w:szCs w:val="22"/>
                <w:lang w:val="sq-AL"/>
              </w:rPr>
              <w:t>17.04.2019</w:t>
            </w:r>
          </w:p>
        </w:tc>
        <w:tc>
          <w:tcPr>
            <w:tcW w:w="2554" w:type="dxa"/>
            <w:tcBorders>
              <w:top w:val="single" w:sz="4" w:space="0" w:color="auto"/>
              <w:left w:val="single" w:sz="4" w:space="0" w:color="auto"/>
              <w:bottom w:val="single" w:sz="4" w:space="0" w:color="auto"/>
            </w:tcBorders>
            <w:shd w:val="clear" w:color="auto" w:fill="D4DDE4"/>
            <w:vAlign w:val="center"/>
          </w:tcPr>
          <w:p w:rsidR="001A0CBD" w:rsidRPr="00CE5397" w:rsidRDefault="001A0CBD" w:rsidP="00C20371">
            <w:pPr>
              <w:pStyle w:val="Other0"/>
              <w:spacing w:after="0" w:line="240" w:lineRule="auto"/>
              <w:jc w:val="center"/>
              <w:rPr>
                <w:lang w:val="sq-AL"/>
              </w:rPr>
            </w:pPr>
            <w:r w:rsidRPr="00CE5397">
              <w:rPr>
                <w:b/>
                <w:bCs/>
                <w:lang w:val="sq-AL"/>
              </w:rPr>
              <w:t>H</w:t>
            </w:r>
          </w:p>
        </w:tc>
        <w:tc>
          <w:tcPr>
            <w:tcW w:w="4594" w:type="dxa"/>
            <w:tcBorders>
              <w:top w:val="single" w:sz="4" w:space="0" w:color="auto"/>
              <w:left w:val="single" w:sz="4" w:space="0" w:color="auto"/>
              <w:bottom w:val="single" w:sz="4" w:space="0" w:color="auto"/>
            </w:tcBorders>
            <w:shd w:val="clear" w:color="auto" w:fill="D4DDE4"/>
          </w:tcPr>
          <w:p w:rsidR="001A0CBD" w:rsidRPr="00CE5397" w:rsidRDefault="001A0CBD" w:rsidP="00C20371">
            <w:pPr>
              <w:pStyle w:val="Other0"/>
              <w:spacing w:after="0" w:line="240" w:lineRule="auto"/>
              <w:jc w:val="center"/>
              <w:rPr>
                <w:lang w:val="sq-AL"/>
              </w:rPr>
            </w:pPr>
            <w:r w:rsidRPr="00CE5397">
              <w:rPr>
                <w:b/>
                <w:bCs/>
                <w:lang w:val="sq-AL"/>
              </w:rPr>
              <w:t>Neni 8 i Konventës</w:t>
            </w:r>
          </w:p>
          <w:p w:rsidR="001A0CBD" w:rsidRPr="00CE5397" w:rsidRDefault="001A0CBD" w:rsidP="00C20371">
            <w:pPr>
              <w:pStyle w:val="Other0"/>
              <w:spacing w:after="0" w:line="240" w:lineRule="auto"/>
              <w:jc w:val="center"/>
              <w:rPr>
                <w:lang w:val="sq-AL"/>
              </w:rPr>
            </w:pPr>
            <w:r w:rsidRPr="00CE5397">
              <w:rPr>
                <w:rStyle w:val="rynqvb"/>
                <w:rFonts w:eastAsia="Georgia"/>
                <w:lang w:val="sq-AL"/>
              </w:rPr>
              <w:t>shkelje e të drejtës së aplikantit për respektimin e së drejtës së privatësisë, si pasojë e mungesës së kuadrit ligjor që rregullon kushtet dhe procedurën për ndryshimin e shenjës</w:t>
            </w:r>
            <w:r>
              <w:rPr>
                <w:rStyle w:val="rynqvb"/>
                <w:rFonts w:eastAsia="Georgia"/>
                <w:lang w:val="sq-AL"/>
              </w:rPr>
              <w:t xml:space="preserve"> </w:t>
            </w:r>
            <w:r w:rsidRPr="00CE5397">
              <w:rPr>
                <w:rStyle w:val="rynqvb"/>
                <w:rFonts w:eastAsia="Georgia"/>
                <w:lang w:val="sq-AL"/>
              </w:rPr>
              <w:t>në certifikatën e lindjes</w:t>
            </w:r>
          </w:p>
        </w:tc>
        <w:tc>
          <w:tcPr>
            <w:tcW w:w="1728" w:type="dxa"/>
            <w:tcBorders>
              <w:top w:val="single" w:sz="4" w:space="0" w:color="auto"/>
              <w:left w:val="single" w:sz="4" w:space="0" w:color="auto"/>
              <w:bottom w:val="single" w:sz="4" w:space="0" w:color="auto"/>
              <w:right w:val="single" w:sz="4" w:space="0" w:color="auto"/>
            </w:tcBorders>
            <w:shd w:val="clear" w:color="auto" w:fill="D4DDE4"/>
          </w:tcPr>
          <w:p w:rsidR="001A0CBD" w:rsidRPr="00CE5397" w:rsidRDefault="001A0CBD" w:rsidP="00C20371">
            <w:pPr>
              <w:pStyle w:val="Other0"/>
              <w:spacing w:before="580" w:after="0" w:line="240" w:lineRule="auto"/>
              <w:jc w:val="center"/>
              <w:rPr>
                <w:lang w:val="sq-AL"/>
              </w:rPr>
            </w:pPr>
            <w:r w:rsidRPr="00CE5397">
              <w:rPr>
                <w:lang w:val="sq-AL"/>
              </w:rPr>
              <w:t xml:space="preserve">Mbikëqyrje e përforcuar </w:t>
            </w:r>
          </w:p>
        </w:tc>
      </w:tr>
    </w:tbl>
    <w:p w:rsidR="00D65C97" w:rsidRDefault="003B25C9">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D65C97">
        <w:trPr>
          <w:trHeight w:hRule="exact" w:val="283"/>
          <w:jc w:val="center"/>
        </w:trPr>
        <w:tc>
          <w:tcPr>
            <w:tcW w:w="706" w:type="dxa"/>
            <w:tcBorders>
              <w:top w:val="single" w:sz="4" w:space="0" w:color="auto"/>
              <w:left w:val="single" w:sz="4" w:space="0" w:color="auto"/>
            </w:tcBorders>
            <w:shd w:val="clear" w:color="auto" w:fill="D4DDE4"/>
          </w:tcPr>
          <w:p w:rsidR="00D65C97" w:rsidRDefault="00D65C97">
            <w:pPr>
              <w:rPr>
                <w:sz w:val="10"/>
                <w:szCs w:val="10"/>
              </w:rPr>
            </w:pPr>
          </w:p>
        </w:tc>
        <w:tc>
          <w:tcPr>
            <w:tcW w:w="1709" w:type="dxa"/>
            <w:tcBorders>
              <w:top w:val="single" w:sz="4" w:space="0" w:color="auto"/>
              <w:left w:val="single" w:sz="4" w:space="0" w:color="auto"/>
            </w:tcBorders>
            <w:shd w:val="clear" w:color="auto" w:fill="D4DDE4"/>
          </w:tcPr>
          <w:p w:rsidR="00D65C97" w:rsidRDefault="00D65C97">
            <w:pPr>
              <w:rPr>
                <w:sz w:val="10"/>
                <w:szCs w:val="10"/>
              </w:rPr>
            </w:pPr>
          </w:p>
        </w:tc>
        <w:tc>
          <w:tcPr>
            <w:tcW w:w="1464" w:type="dxa"/>
            <w:tcBorders>
              <w:top w:val="single" w:sz="4" w:space="0" w:color="auto"/>
              <w:left w:val="single" w:sz="4" w:space="0" w:color="auto"/>
            </w:tcBorders>
            <w:shd w:val="clear" w:color="auto" w:fill="D4DDE4"/>
          </w:tcPr>
          <w:p w:rsidR="00D65C97" w:rsidRDefault="00D65C97">
            <w:pPr>
              <w:rPr>
                <w:sz w:val="10"/>
                <w:szCs w:val="10"/>
              </w:rPr>
            </w:pPr>
          </w:p>
        </w:tc>
        <w:tc>
          <w:tcPr>
            <w:tcW w:w="1560" w:type="dxa"/>
            <w:tcBorders>
              <w:top w:val="single" w:sz="4" w:space="0" w:color="auto"/>
              <w:left w:val="single" w:sz="4" w:space="0" w:color="auto"/>
            </w:tcBorders>
            <w:shd w:val="clear" w:color="auto" w:fill="D4DDE4"/>
          </w:tcPr>
          <w:p w:rsidR="00D65C97" w:rsidRDefault="00D65C97">
            <w:pPr>
              <w:rPr>
                <w:sz w:val="10"/>
                <w:szCs w:val="10"/>
              </w:rPr>
            </w:pPr>
          </w:p>
        </w:tc>
        <w:tc>
          <w:tcPr>
            <w:tcW w:w="2554" w:type="dxa"/>
            <w:tcBorders>
              <w:top w:val="single" w:sz="4" w:space="0" w:color="auto"/>
              <w:left w:val="single" w:sz="4" w:space="0" w:color="auto"/>
            </w:tcBorders>
            <w:shd w:val="clear" w:color="auto" w:fill="D4DDE4"/>
          </w:tcPr>
          <w:p w:rsidR="00D65C97" w:rsidRDefault="00D65C97">
            <w:pPr>
              <w:rPr>
                <w:sz w:val="10"/>
                <w:szCs w:val="10"/>
              </w:rPr>
            </w:pPr>
          </w:p>
        </w:tc>
        <w:tc>
          <w:tcPr>
            <w:tcW w:w="4594" w:type="dxa"/>
            <w:tcBorders>
              <w:top w:val="single" w:sz="4" w:space="0" w:color="auto"/>
              <w:left w:val="single" w:sz="4" w:space="0" w:color="auto"/>
            </w:tcBorders>
            <w:shd w:val="clear" w:color="auto" w:fill="D4DDE4"/>
          </w:tcPr>
          <w:p w:rsidR="00D65C97" w:rsidRDefault="00D65C97">
            <w:pPr>
              <w:rPr>
                <w:sz w:val="10"/>
                <w:szCs w:val="10"/>
              </w:rPr>
            </w:pPr>
          </w:p>
        </w:tc>
        <w:tc>
          <w:tcPr>
            <w:tcW w:w="1728" w:type="dxa"/>
            <w:tcBorders>
              <w:top w:val="single" w:sz="4" w:space="0" w:color="auto"/>
              <w:left w:val="single" w:sz="4" w:space="0" w:color="auto"/>
              <w:right w:val="single" w:sz="4" w:space="0" w:color="auto"/>
            </w:tcBorders>
            <w:shd w:val="clear" w:color="auto" w:fill="D4DDE4"/>
          </w:tcPr>
          <w:p w:rsidR="00D65C97" w:rsidRDefault="00D65C97">
            <w:pPr>
              <w:rPr>
                <w:sz w:val="10"/>
                <w:szCs w:val="10"/>
              </w:rPr>
            </w:pPr>
          </w:p>
        </w:tc>
      </w:tr>
      <w:tr w:rsidR="000A140C">
        <w:trPr>
          <w:trHeight w:hRule="exact" w:val="1541"/>
          <w:jc w:val="center"/>
        </w:trPr>
        <w:tc>
          <w:tcPr>
            <w:tcW w:w="706" w:type="dxa"/>
            <w:tcBorders>
              <w:top w:val="single" w:sz="4" w:space="0" w:color="auto"/>
              <w:left w:val="single" w:sz="4" w:space="0" w:color="auto"/>
            </w:tcBorders>
            <w:shd w:val="clear" w:color="auto" w:fill="D4DDE4"/>
            <w:vAlign w:val="center"/>
          </w:tcPr>
          <w:p w:rsidR="000A140C" w:rsidRDefault="000A140C">
            <w:pPr>
              <w:pStyle w:val="Other0"/>
              <w:spacing w:after="0" w:line="240" w:lineRule="auto"/>
              <w:jc w:val="center"/>
              <w:rPr>
                <w:sz w:val="22"/>
                <w:szCs w:val="22"/>
              </w:rPr>
            </w:pPr>
            <w:r>
              <w:rPr>
                <w:sz w:val="22"/>
                <w:szCs w:val="22"/>
              </w:rPr>
              <w:t>5.</w:t>
            </w:r>
          </w:p>
        </w:tc>
        <w:tc>
          <w:tcPr>
            <w:tcW w:w="1709" w:type="dxa"/>
            <w:tcBorders>
              <w:top w:val="single" w:sz="4" w:space="0" w:color="auto"/>
              <w:left w:val="single" w:sz="4" w:space="0" w:color="auto"/>
            </w:tcBorders>
            <w:shd w:val="clear" w:color="auto" w:fill="D4DDE4"/>
            <w:vAlign w:val="center"/>
          </w:tcPr>
          <w:p w:rsidR="000A140C" w:rsidRPr="00C1447F" w:rsidRDefault="000A140C" w:rsidP="00C20371">
            <w:pPr>
              <w:pStyle w:val="Other0"/>
              <w:spacing w:after="0" w:line="240" w:lineRule="auto"/>
              <w:jc w:val="center"/>
              <w:rPr>
                <w:sz w:val="22"/>
                <w:szCs w:val="22"/>
                <w:lang w:val="sq-AL"/>
              </w:rPr>
            </w:pPr>
            <w:r w:rsidRPr="00C1447F">
              <w:rPr>
                <w:sz w:val="22"/>
                <w:szCs w:val="22"/>
                <w:lang w:val="sq-AL"/>
              </w:rPr>
              <w:t>А. nr.</w:t>
            </w:r>
            <w:r w:rsidR="00633523">
              <w:rPr>
                <w:sz w:val="22"/>
                <w:szCs w:val="22"/>
                <w:lang w:val="sq-AL"/>
              </w:rPr>
              <w:t xml:space="preserve"> </w:t>
            </w:r>
            <w:r w:rsidRPr="00C1447F">
              <w:rPr>
                <w:sz w:val="22"/>
                <w:szCs w:val="22"/>
                <w:lang w:val="sq-AL"/>
              </w:rPr>
              <w:t>53205/13</w:t>
            </w:r>
          </w:p>
        </w:tc>
        <w:tc>
          <w:tcPr>
            <w:tcW w:w="1464" w:type="dxa"/>
            <w:tcBorders>
              <w:top w:val="single" w:sz="4" w:space="0" w:color="auto"/>
              <w:left w:val="single" w:sz="4" w:space="0" w:color="auto"/>
            </w:tcBorders>
            <w:shd w:val="clear" w:color="auto" w:fill="D4DDE4"/>
            <w:vAlign w:val="center"/>
          </w:tcPr>
          <w:p w:rsidR="000A140C" w:rsidRPr="00C1447F" w:rsidRDefault="000A140C" w:rsidP="00C20371">
            <w:pPr>
              <w:pStyle w:val="Other0"/>
              <w:spacing w:after="0" w:line="240" w:lineRule="auto"/>
              <w:ind w:firstLine="240"/>
              <w:rPr>
                <w:sz w:val="22"/>
                <w:szCs w:val="22"/>
                <w:lang w:val="sq-AL"/>
              </w:rPr>
            </w:pPr>
            <w:r w:rsidRPr="00C1447F">
              <w:rPr>
                <w:sz w:val="22"/>
                <w:szCs w:val="22"/>
                <w:lang w:val="sq-AL"/>
              </w:rPr>
              <w:t>13.02.2020</w:t>
            </w:r>
          </w:p>
        </w:tc>
        <w:tc>
          <w:tcPr>
            <w:tcW w:w="1560" w:type="dxa"/>
            <w:tcBorders>
              <w:top w:val="single" w:sz="4" w:space="0" w:color="auto"/>
              <w:left w:val="single" w:sz="4" w:space="0" w:color="auto"/>
            </w:tcBorders>
            <w:shd w:val="clear" w:color="auto" w:fill="D4DDE4"/>
            <w:vAlign w:val="center"/>
          </w:tcPr>
          <w:p w:rsidR="000A140C" w:rsidRPr="00C1447F" w:rsidRDefault="000A140C" w:rsidP="00C20371">
            <w:pPr>
              <w:pStyle w:val="Other0"/>
              <w:spacing w:after="0" w:line="240" w:lineRule="auto"/>
              <w:ind w:firstLine="300"/>
              <w:rPr>
                <w:sz w:val="22"/>
                <w:szCs w:val="22"/>
                <w:lang w:val="sq-AL"/>
              </w:rPr>
            </w:pPr>
            <w:r w:rsidRPr="00C1447F">
              <w:rPr>
                <w:sz w:val="22"/>
                <w:szCs w:val="22"/>
                <w:lang w:val="sq-AL"/>
              </w:rPr>
              <w:t>13.06.2020</w:t>
            </w:r>
          </w:p>
        </w:tc>
        <w:tc>
          <w:tcPr>
            <w:tcW w:w="2554" w:type="dxa"/>
            <w:tcBorders>
              <w:top w:val="single" w:sz="4" w:space="0" w:color="auto"/>
              <w:left w:val="single" w:sz="4" w:space="0" w:color="auto"/>
            </w:tcBorders>
            <w:shd w:val="clear" w:color="auto" w:fill="D4DDE4"/>
            <w:vAlign w:val="center"/>
          </w:tcPr>
          <w:p w:rsidR="000A140C" w:rsidRPr="00CE5397" w:rsidRDefault="000A140C" w:rsidP="00C20371">
            <w:pPr>
              <w:pStyle w:val="Other0"/>
              <w:spacing w:after="0" w:line="240" w:lineRule="auto"/>
              <w:jc w:val="center"/>
              <w:rPr>
                <w:b/>
                <w:lang w:val="sq-AL"/>
              </w:rPr>
            </w:pPr>
            <w:r w:rsidRPr="00CE5397">
              <w:rPr>
                <w:rStyle w:val="rynqvb"/>
                <w:rFonts w:eastAsia="Georgia"/>
                <w:b/>
                <w:lang w:val="sq-AL"/>
              </w:rPr>
              <w:t>TRAJKOVSKI DHE ÇIPOVSKI</w:t>
            </w:r>
          </w:p>
        </w:tc>
        <w:tc>
          <w:tcPr>
            <w:tcW w:w="4594" w:type="dxa"/>
            <w:tcBorders>
              <w:top w:val="single" w:sz="4" w:space="0" w:color="auto"/>
              <w:left w:val="single" w:sz="4" w:space="0" w:color="auto"/>
            </w:tcBorders>
            <w:shd w:val="clear" w:color="auto" w:fill="D4DDE4"/>
          </w:tcPr>
          <w:p w:rsidR="000A140C" w:rsidRPr="00CE5397" w:rsidRDefault="000A140C" w:rsidP="00C20371">
            <w:pPr>
              <w:pStyle w:val="Other0"/>
              <w:spacing w:after="120" w:line="240" w:lineRule="auto"/>
              <w:jc w:val="center"/>
              <w:rPr>
                <w:lang w:val="sq-AL"/>
              </w:rPr>
            </w:pPr>
            <w:r w:rsidRPr="00CE5397">
              <w:rPr>
                <w:b/>
                <w:bCs/>
                <w:lang w:val="sq-AL"/>
              </w:rPr>
              <w:t>Neni 8 i Konventës</w:t>
            </w:r>
          </w:p>
          <w:p w:rsidR="000A140C" w:rsidRPr="00CE5397" w:rsidRDefault="000A140C" w:rsidP="00C20371">
            <w:pPr>
              <w:pStyle w:val="Other0"/>
              <w:spacing w:after="0" w:line="240" w:lineRule="auto"/>
              <w:jc w:val="center"/>
              <w:rPr>
                <w:lang w:val="sq-AL"/>
              </w:rPr>
            </w:pPr>
            <w:r w:rsidRPr="00CE5397">
              <w:rPr>
                <w:rStyle w:val="rynqvb"/>
                <w:rFonts w:eastAsia="Georgia"/>
                <w:lang w:val="sq-AL"/>
              </w:rPr>
              <w:t>shkelje e së drejtës për jetë private për shkak të kuadrit ligjor mbi bazën e të cilit autoritetet vendase ruanin mostrat e tyre të ADN-së</w:t>
            </w:r>
          </w:p>
        </w:tc>
        <w:tc>
          <w:tcPr>
            <w:tcW w:w="1728" w:type="dxa"/>
            <w:tcBorders>
              <w:top w:val="single" w:sz="4" w:space="0" w:color="auto"/>
              <w:left w:val="single" w:sz="4" w:space="0" w:color="auto"/>
              <w:right w:val="single" w:sz="4" w:space="0" w:color="auto"/>
            </w:tcBorders>
            <w:shd w:val="clear" w:color="auto" w:fill="D4DDE4"/>
            <w:vAlign w:val="center"/>
          </w:tcPr>
          <w:p w:rsidR="000A140C" w:rsidRPr="00CE5397" w:rsidRDefault="000A140C" w:rsidP="00C20371">
            <w:pPr>
              <w:pStyle w:val="Other0"/>
              <w:spacing w:after="0" w:line="240" w:lineRule="auto"/>
              <w:jc w:val="center"/>
              <w:rPr>
                <w:lang w:val="sq-AL"/>
              </w:rPr>
            </w:pPr>
            <w:r w:rsidRPr="00CE5397">
              <w:rPr>
                <w:lang w:val="sq-AL"/>
              </w:rPr>
              <w:t>Mbikëqyrje standarde</w:t>
            </w:r>
          </w:p>
        </w:tc>
      </w:tr>
      <w:tr w:rsidR="000A140C">
        <w:trPr>
          <w:trHeight w:hRule="exact" w:val="3053"/>
          <w:jc w:val="center"/>
        </w:trPr>
        <w:tc>
          <w:tcPr>
            <w:tcW w:w="706" w:type="dxa"/>
            <w:tcBorders>
              <w:top w:val="single" w:sz="4" w:space="0" w:color="auto"/>
              <w:left w:val="single" w:sz="4" w:space="0" w:color="auto"/>
            </w:tcBorders>
            <w:shd w:val="clear" w:color="auto" w:fill="D4DDE4"/>
            <w:vAlign w:val="center"/>
          </w:tcPr>
          <w:p w:rsidR="000A140C" w:rsidRDefault="000A140C">
            <w:pPr>
              <w:pStyle w:val="Other0"/>
              <w:spacing w:after="0" w:line="240" w:lineRule="auto"/>
              <w:jc w:val="center"/>
              <w:rPr>
                <w:sz w:val="22"/>
                <w:szCs w:val="22"/>
              </w:rPr>
            </w:pPr>
            <w:r>
              <w:rPr>
                <w:sz w:val="22"/>
                <w:szCs w:val="22"/>
              </w:rPr>
              <w:t>6.</w:t>
            </w:r>
          </w:p>
        </w:tc>
        <w:tc>
          <w:tcPr>
            <w:tcW w:w="1709" w:type="dxa"/>
            <w:tcBorders>
              <w:top w:val="single" w:sz="4" w:space="0" w:color="auto"/>
              <w:left w:val="single" w:sz="4" w:space="0" w:color="auto"/>
            </w:tcBorders>
            <w:shd w:val="clear" w:color="auto" w:fill="D4DDE4"/>
            <w:vAlign w:val="center"/>
          </w:tcPr>
          <w:p w:rsidR="000A140C" w:rsidRPr="00C1447F" w:rsidRDefault="000A140C" w:rsidP="00C20371">
            <w:pPr>
              <w:pStyle w:val="Other0"/>
              <w:spacing w:after="0" w:line="240" w:lineRule="auto"/>
              <w:jc w:val="center"/>
              <w:rPr>
                <w:sz w:val="22"/>
                <w:szCs w:val="22"/>
                <w:lang w:val="sq-AL"/>
              </w:rPr>
            </w:pPr>
            <w:r w:rsidRPr="00C1447F">
              <w:rPr>
                <w:sz w:val="22"/>
                <w:szCs w:val="22"/>
                <w:lang w:val="sq-AL"/>
              </w:rPr>
              <w:t>А. nr. 23773/17</w:t>
            </w:r>
          </w:p>
        </w:tc>
        <w:tc>
          <w:tcPr>
            <w:tcW w:w="1464" w:type="dxa"/>
            <w:tcBorders>
              <w:top w:val="single" w:sz="4" w:space="0" w:color="auto"/>
              <w:left w:val="single" w:sz="4" w:space="0" w:color="auto"/>
            </w:tcBorders>
            <w:shd w:val="clear" w:color="auto" w:fill="D4DDE4"/>
            <w:vAlign w:val="center"/>
          </w:tcPr>
          <w:p w:rsidR="000A140C" w:rsidRPr="00C1447F" w:rsidRDefault="000A140C" w:rsidP="00C20371">
            <w:pPr>
              <w:pStyle w:val="Other0"/>
              <w:spacing w:after="0" w:line="240" w:lineRule="auto"/>
              <w:ind w:firstLine="240"/>
              <w:rPr>
                <w:sz w:val="22"/>
                <w:szCs w:val="22"/>
                <w:lang w:val="sq-AL"/>
              </w:rPr>
            </w:pPr>
            <w:r w:rsidRPr="00C1447F">
              <w:rPr>
                <w:sz w:val="22"/>
                <w:szCs w:val="22"/>
                <w:lang w:val="sq-AL"/>
              </w:rPr>
              <w:t>07.06.2022</w:t>
            </w:r>
          </w:p>
        </w:tc>
        <w:tc>
          <w:tcPr>
            <w:tcW w:w="1560" w:type="dxa"/>
            <w:tcBorders>
              <w:top w:val="single" w:sz="4" w:space="0" w:color="auto"/>
              <w:left w:val="single" w:sz="4" w:space="0" w:color="auto"/>
            </w:tcBorders>
            <w:shd w:val="clear" w:color="auto" w:fill="D4DDE4"/>
            <w:vAlign w:val="center"/>
          </w:tcPr>
          <w:p w:rsidR="000A140C" w:rsidRPr="00C1447F" w:rsidRDefault="000A140C" w:rsidP="00C20371">
            <w:pPr>
              <w:pStyle w:val="Other0"/>
              <w:spacing w:after="0" w:line="240" w:lineRule="auto"/>
              <w:ind w:firstLine="300"/>
              <w:rPr>
                <w:sz w:val="22"/>
                <w:szCs w:val="22"/>
                <w:lang w:val="sq-AL"/>
              </w:rPr>
            </w:pPr>
            <w:r w:rsidRPr="00C1447F">
              <w:rPr>
                <w:sz w:val="22"/>
                <w:szCs w:val="22"/>
                <w:lang w:val="sq-AL"/>
              </w:rPr>
              <w:t>07.06.2022</w:t>
            </w:r>
          </w:p>
        </w:tc>
        <w:tc>
          <w:tcPr>
            <w:tcW w:w="2554" w:type="dxa"/>
            <w:tcBorders>
              <w:top w:val="single" w:sz="4" w:space="0" w:color="auto"/>
              <w:left w:val="single" w:sz="4" w:space="0" w:color="auto"/>
            </w:tcBorders>
            <w:shd w:val="clear" w:color="auto" w:fill="D4DDE4"/>
            <w:vAlign w:val="center"/>
          </w:tcPr>
          <w:p w:rsidR="000A140C" w:rsidRPr="00CE5397" w:rsidRDefault="000A140C" w:rsidP="00C20371">
            <w:pPr>
              <w:pStyle w:val="Other0"/>
              <w:spacing w:after="0" w:line="240" w:lineRule="auto"/>
              <w:jc w:val="center"/>
              <w:rPr>
                <w:lang w:val="sq-AL"/>
              </w:rPr>
            </w:pPr>
            <w:r w:rsidRPr="00CE5397">
              <w:rPr>
                <w:b/>
                <w:bCs/>
                <w:lang w:val="sq-AL"/>
              </w:rPr>
              <w:t xml:space="preserve">KOSTOVSKI </w:t>
            </w:r>
          </w:p>
        </w:tc>
        <w:tc>
          <w:tcPr>
            <w:tcW w:w="4594" w:type="dxa"/>
            <w:tcBorders>
              <w:top w:val="single" w:sz="4" w:space="0" w:color="auto"/>
              <w:left w:val="single" w:sz="4" w:space="0" w:color="auto"/>
            </w:tcBorders>
            <w:shd w:val="clear" w:color="auto" w:fill="D4DDE4"/>
          </w:tcPr>
          <w:p w:rsidR="000A140C" w:rsidRPr="00CE5397" w:rsidRDefault="000A140C" w:rsidP="00C20371">
            <w:pPr>
              <w:pStyle w:val="Other0"/>
              <w:spacing w:after="120" w:line="240" w:lineRule="auto"/>
              <w:jc w:val="center"/>
              <w:rPr>
                <w:lang w:val="sq-AL"/>
              </w:rPr>
            </w:pPr>
            <w:r w:rsidRPr="00CE5397">
              <w:rPr>
                <w:b/>
                <w:bCs/>
                <w:lang w:val="sq-AL"/>
              </w:rPr>
              <w:t>Neni 6 § 1 Neni</w:t>
            </w:r>
          </w:p>
          <w:p w:rsidR="000A140C" w:rsidRPr="00CE5397" w:rsidRDefault="000A140C" w:rsidP="00C20371">
            <w:pPr>
              <w:pStyle w:val="Other0"/>
              <w:spacing w:after="0" w:line="240" w:lineRule="auto"/>
              <w:jc w:val="center"/>
              <w:rPr>
                <w:lang w:val="sq-AL"/>
              </w:rPr>
            </w:pPr>
            <w:r w:rsidRPr="00CE5397">
              <w:rPr>
                <w:rStyle w:val="rynqvb"/>
                <w:rFonts w:eastAsia="Georgia"/>
                <w:lang w:val="sq-AL"/>
              </w:rPr>
              <w:t>shkelja e së drejtës së aplikantit për gjykim të drejtë për shkak të dështimit të Drejtorisë doganore në vitin 2014 dhe gjykatave administrative në vitin 2016 për të dhënë arsye adekuate për refuzimin e aplikimeve të parashtruesit për mbajtjen e seancës dëgjimore dhe për të konsideruar si provë video-incizimet nga vendkalimi kufitar</w:t>
            </w:r>
          </w:p>
        </w:tc>
        <w:tc>
          <w:tcPr>
            <w:tcW w:w="1728" w:type="dxa"/>
            <w:tcBorders>
              <w:top w:val="single" w:sz="4" w:space="0" w:color="auto"/>
              <w:left w:val="single" w:sz="4" w:space="0" w:color="auto"/>
              <w:right w:val="single" w:sz="4" w:space="0" w:color="auto"/>
            </w:tcBorders>
            <w:shd w:val="clear" w:color="auto" w:fill="D4DDE4"/>
            <w:vAlign w:val="center"/>
          </w:tcPr>
          <w:p w:rsidR="000A140C" w:rsidRPr="00CE5397" w:rsidRDefault="000A140C" w:rsidP="00C20371">
            <w:pPr>
              <w:pStyle w:val="Other0"/>
              <w:spacing w:after="0" w:line="240" w:lineRule="auto"/>
              <w:jc w:val="center"/>
              <w:rPr>
                <w:lang w:val="sq-AL"/>
              </w:rPr>
            </w:pPr>
            <w:r w:rsidRPr="00CE5397">
              <w:rPr>
                <w:lang w:val="sq-AL"/>
              </w:rPr>
              <w:t>Mbikëqyrje standarde</w:t>
            </w:r>
          </w:p>
        </w:tc>
      </w:tr>
      <w:tr w:rsidR="000A140C">
        <w:trPr>
          <w:trHeight w:hRule="exact" w:val="3072"/>
          <w:jc w:val="center"/>
        </w:trPr>
        <w:tc>
          <w:tcPr>
            <w:tcW w:w="706" w:type="dxa"/>
            <w:tcBorders>
              <w:top w:val="single" w:sz="4" w:space="0" w:color="auto"/>
              <w:left w:val="single" w:sz="4" w:space="0" w:color="auto"/>
              <w:bottom w:val="single" w:sz="4" w:space="0" w:color="auto"/>
            </w:tcBorders>
            <w:shd w:val="clear" w:color="auto" w:fill="D4DDE4"/>
            <w:vAlign w:val="center"/>
          </w:tcPr>
          <w:p w:rsidR="000A140C" w:rsidRDefault="000A140C">
            <w:pPr>
              <w:pStyle w:val="Other0"/>
              <w:spacing w:after="0" w:line="240" w:lineRule="auto"/>
              <w:jc w:val="center"/>
              <w:rPr>
                <w:sz w:val="22"/>
                <w:szCs w:val="22"/>
              </w:rPr>
            </w:pPr>
            <w:r>
              <w:rPr>
                <w:sz w:val="22"/>
                <w:szCs w:val="22"/>
              </w:rPr>
              <w:t>7.</w:t>
            </w:r>
          </w:p>
        </w:tc>
        <w:tc>
          <w:tcPr>
            <w:tcW w:w="1709" w:type="dxa"/>
            <w:tcBorders>
              <w:top w:val="single" w:sz="4" w:space="0" w:color="auto"/>
              <w:left w:val="single" w:sz="4" w:space="0" w:color="auto"/>
              <w:bottom w:val="single" w:sz="4" w:space="0" w:color="auto"/>
            </w:tcBorders>
            <w:shd w:val="clear" w:color="auto" w:fill="D4DDE4"/>
            <w:vAlign w:val="center"/>
          </w:tcPr>
          <w:p w:rsidR="000A140C" w:rsidRPr="00C1447F" w:rsidRDefault="000A140C" w:rsidP="00C20371">
            <w:pPr>
              <w:pStyle w:val="Other0"/>
              <w:spacing w:after="0" w:line="240" w:lineRule="auto"/>
              <w:jc w:val="center"/>
              <w:rPr>
                <w:sz w:val="22"/>
                <w:szCs w:val="22"/>
                <w:lang w:val="sq-AL"/>
              </w:rPr>
            </w:pPr>
            <w:r w:rsidRPr="00C1447F">
              <w:rPr>
                <w:sz w:val="22"/>
                <w:szCs w:val="22"/>
                <w:lang w:val="sq-AL"/>
              </w:rPr>
              <w:t>А. nr. 11811/20</w:t>
            </w:r>
          </w:p>
        </w:tc>
        <w:tc>
          <w:tcPr>
            <w:tcW w:w="1464" w:type="dxa"/>
            <w:tcBorders>
              <w:top w:val="single" w:sz="4" w:space="0" w:color="auto"/>
              <w:left w:val="single" w:sz="4" w:space="0" w:color="auto"/>
              <w:bottom w:val="single" w:sz="4" w:space="0" w:color="auto"/>
            </w:tcBorders>
            <w:shd w:val="clear" w:color="auto" w:fill="D4DDE4"/>
            <w:vAlign w:val="center"/>
          </w:tcPr>
          <w:p w:rsidR="000A140C" w:rsidRPr="00C1447F" w:rsidRDefault="000A140C" w:rsidP="00C20371">
            <w:pPr>
              <w:pStyle w:val="Other0"/>
              <w:spacing w:after="0" w:line="240" w:lineRule="auto"/>
              <w:ind w:firstLine="240"/>
              <w:rPr>
                <w:sz w:val="22"/>
                <w:szCs w:val="22"/>
                <w:lang w:val="sq-AL"/>
              </w:rPr>
            </w:pPr>
            <w:r w:rsidRPr="00C1447F">
              <w:rPr>
                <w:sz w:val="22"/>
                <w:szCs w:val="22"/>
                <w:lang w:val="sq-AL"/>
              </w:rPr>
              <w:t>13.12.2022</w:t>
            </w:r>
          </w:p>
        </w:tc>
        <w:tc>
          <w:tcPr>
            <w:tcW w:w="1560" w:type="dxa"/>
            <w:tcBorders>
              <w:top w:val="single" w:sz="4" w:space="0" w:color="auto"/>
              <w:left w:val="single" w:sz="4" w:space="0" w:color="auto"/>
              <w:bottom w:val="single" w:sz="4" w:space="0" w:color="auto"/>
            </w:tcBorders>
            <w:shd w:val="clear" w:color="auto" w:fill="D4DDE4"/>
            <w:vAlign w:val="center"/>
          </w:tcPr>
          <w:p w:rsidR="000A140C" w:rsidRPr="00C1447F" w:rsidRDefault="000A140C" w:rsidP="00C20371">
            <w:pPr>
              <w:pStyle w:val="Other0"/>
              <w:spacing w:after="0" w:line="240" w:lineRule="auto"/>
              <w:ind w:firstLine="300"/>
              <w:rPr>
                <w:sz w:val="22"/>
                <w:szCs w:val="22"/>
                <w:lang w:val="sq-AL"/>
              </w:rPr>
            </w:pPr>
            <w:r w:rsidRPr="00C1447F">
              <w:rPr>
                <w:sz w:val="22"/>
                <w:szCs w:val="22"/>
                <w:lang w:val="sq-AL"/>
              </w:rPr>
              <w:t>13.03.2023</w:t>
            </w:r>
          </w:p>
        </w:tc>
        <w:tc>
          <w:tcPr>
            <w:tcW w:w="2554" w:type="dxa"/>
            <w:tcBorders>
              <w:top w:val="single" w:sz="4" w:space="0" w:color="auto"/>
              <w:left w:val="single" w:sz="4" w:space="0" w:color="auto"/>
              <w:bottom w:val="single" w:sz="4" w:space="0" w:color="auto"/>
            </w:tcBorders>
            <w:shd w:val="clear" w:color="auto" w:fill="D4DDE4"/>
            <w:vAlign w:val="center"/>
          </w:tcPr>
          <w:p w:rsidR="000A140C" w:rsidRPr="00CE5397" w:rsidRDefault="000A140C" w:rsidP="00C20371">
            <w:pPr>
              <w:pStyle w:val="Other0"/>
              <w:spacing w:after="0" w:line="240" w:lineRule="auto"/>
              <w:jc w:val="center"/>
              <w:rPr>
                <w:lang w:val="sq-AL"/>
              </w:rPr>
            </w:pPr>
            <w:r w:rsidRPr="00CE5397">
              <w:rPr>
                <w:b/>
                <w:bCs/>
                <w:lang w:val="sq-AL"/>
              </w:rPr>
              <w:t xml:space="preserve">ELMAZOVA DHE TË TJERË </w:t>
            </w:r>
          </w:p>
        </w:tc>
        <w:tc>
          <w:tcPr>
            <w:tcW w:w="4594" w:type="dxa"/>
            <w:tcBorders>
              <w:top w:val="single" w:sz="4" w:space="0" w:color="auto"/>
              <w:left w:val="single" w:sz="4" w:space="0" w:color="auto"/>
              <w:bottom w:val="single" w:sz="4" w:space="0" w:color="auto"/>
            </w:tcBorders>
            <w:shd w:val="clear" w:color="auto" w:fill="D4DDE4"/>
          </w:tcPr>
          <w:p w:rsidR="000A140C" w:rsidRPr="00CE5397" w:rsidRDefault="000A140C" w:rsidP="00C20371">
            <w:pPr>
              <w:pStyle w:val="Other0"/>
              <w:spacing w:after="0" w:line="240" w:lineRule="auto"/>
              <w:jc w:val="center"/>
              <w:rPr>
                <w:lang w:val="sq-AL"/>
              </w:rPr>
            </w:pPr>
            <w:r w:rsidRPr="00CE5397">
              <w:rPr>
                <w:b/>
                <w:bCs/>
                <w:lang w:val="sq-AL"/>
              </w:rPr>
              <w:t xml:space="preserve">Neni 14 në lidhje me Nenin 2 të Protokollit nr 1 </w:t>
            </w:r>
            <w:r w:rsidRPr="00CE5397">
              <w:rPr>
                <w:rStyle w:val="rynqvb"/>
                <w:rFonts w:eastAsia="Georgia"/>
                <w:lang w:val="sq-AL"/>
              </w:rPr>
              <w:t>Shkelje e të drejtës për arsimim dhe mbrojtje nga diskriminimi i nxënësve romë për shkak të ndarjes së tyre në dy shkolla fillore shtetërore që frekuentohen kryesisht nga fëmijë romë dhe me klasa vetëm për romë. Dështimi i shtetit për të marrë masa desegreguese për të korrigjuar pabarazinë faktike të aplikantëve</w:t>
            </w:r>
          </w:p>
        </w:tc>
        <w:tc>
          <w:tcPr>
            <w:tcW w:w="1728" w:type="dxa"/>
            <w:tcBorders>
              <w:top w:val="single" w:sz="4" w:space="0" w:color="auto"/>
              <w:left w:val="single" w:sz="4" w:space="0" w:color="auto"/>
              <w:bottom w:val="single" w:sz="4" w:space="0" w:color="auto"/>
              <w:right w:val="single" w:sz="4" w:space="0" w:color="auto"/>
            </w:tcBorders>
            <w:shd w:val="clear" w:color="auto" w:fill="D4DDE4"/>
            <w:vAlign w:val="center"/>
          </w:tcPr>
          <w:p w:rsidR="000A140C" w:rsidRPr="00CE5397" w:rsidRDefault="000A140C" w:rsidP="00C20371">
            <w:pPr>
              <w:pStyle w:val="Other0"/>
              <w:spacing w:after="0" w:line="240" w:lineRule="auto"/>
              <w:jc w:val="center"/>
              <w:rPr>
                <w:lang w:val="sq-AL"/>
              </w:rPr>
            </w:pPr>
            <w:r w:rsidRPr="00CE5397">
              <w:rPr>
                <w:lang w:val="sq-AL"/>
              </w:rPr>
              <w:t>Mbikëqyrje e përforcuar</w:t>
            </w:r>
          </w:p>
        </w:tc>
      </w:tr>
    </w:tbl>
    <w:p w:rsidR="00D65C97" w:rsidRDefault="003B25C9">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706"/>
        <w:gridCol w:w="1709"/>
        <w:gridCol w:w="1464"/>
        <w:gridCol w:w="1560"/>
        <w:gridCol w:w="2554"/>
        <w:gridCol w:w="4594"/>
        <w:gridCol w:w="1728"/>
      </w:tblGrid>
      <w:tr w:rsidR="00D65C97">
        <w:trPr>
          <w:trHeight w:hRule="exact" w:val="283"/>
          <w:jc w:val="center"/>
        </w:trPr>
        <w:tc>
          <w:tcPr>
            <w:tcW w:w="706" w:type="dxa"/>
            <w:tcBorders>
              <w:top w:val="single" w:sz="4" w:space="0" w:color="auto"/>
              <w:left w:val="single" w:sz="4" w:space="0" w:color="auto"/>
            </w:tcBorders>
            <w:shd w:val="clear" w:color="auto" w:fill="D4DDE4"/>
          </w:tcPr>
          <w:p w:rsidR="00D65C97" w:rsidRDefault="00D65C97">
            <w:pPr>
              <w:rPr>
                <w:sz w:val="10"/>
                <w:szCs w:val="10"/>
              </w:rPr>
            </w:pPr>
          </w:p>
        </w:tc>
        <w:tc>
          <w:tcPr>
            <w:tcW w:w="1709" w:type="dxa"/>
            <w:tcBorders>
              <w:top w:val="single" w:sz="4" w:space="0" w:color="auto"/>
              <w:left w:val="single" w:sz="4" w:space="0" w:color="auto"/>
            </w:tcBorders>
            <w:shd w:val="clear" w:color="auto" w:fill="D4DDE4"/>
          </w:tcPr>
          <w:p w:rsidR="00D65C97" w:rsidRDefault="00D65C97">
            <w:pPr>
              <w:rPr>
                <w:sz w:val="10"/>
                <w:szCs w:val="10"/>
              </w:rPr>
            </w:pPr>
          </w:p>
        </w:tc>
        <w:tc>
          <w:tcPr>
            <w:tcW w:w="1464" w:type="dxa"/>
            <w:tcBorders>
              <w:top w:val="single" w:sz="4" w:space="0" w:color="auto"/>
              <w:left w:val="single" w:sz="4" w:space="0" w:color="auto"/>
            </w:tcBorders>
            <w:shd w:val="clear" w:color="auto" w:fill="D4DDE4"/>
          </w:tcPr>
          <w:p w:rsidR="00D65C97" w:rsidRDefault="00D65C97">
            <w:pPr>
              <w:rPr>
                <w:sz w:val="10"/>
                <w:szCs w:val="10"/>
              </w:rPr>
            </w:pPr>
          </w:p>
        </w:tc>
        <w:tc>
          <w:tcPr>
            <w:tcW w:w="1560" w:type="dxa"/>
            <w:tcBorders>
              <w:top w:val="single" w:sz="4" w:space="0" w:color="auto"/>
              <w:left w:val="single" w:sz="4" w:space="0" w:color="auto"/>
            </w:tcBorders>
            <w:shd w:val="clear" w:color="auto" w:fill="D4DDE4"/>
          </w:tcPr>
          <w:p w:rsidR="00D65C97" w:rsidRDefault="00D65C97">
            <w:pPr>
              <w:rPr>
                <w:sz w:val="10"/>
                <w:szCs w:val="10"/>
              </w:rPr>
            </w:pPr>
          </w:p>
        </w:tc>
        <w:tc>
          <w:tcPr>
            <w:tcW w:w="2554" w:type="dxa"/>
            <w:tcBorders>
              <w:top w:val="single" w:sz="4" w:space="0" w:color="auto"/>
              <w:left w:val="single" w:sz="4" w:space="0" w:color="auto"/>
            </w:tcBorders>
            <w:shd w:val="clear" w:color="auto" w:fill="D4DDE4"/>
          </w:tcPr>
          <w:p w:rsidR="00D65C97" w:rsidRDefault="00D65C97">
            <w:pPr>
              <w:rPr>
                <w:sz w:val="10"/>
                <w:szCs w:val="10"/>
              </w:rPr>
            </w:pPr>
          </w:p>
        </w:tc>
        <w:tc>
          <w:tcPr>
            <w:tcW w:w="4594" w:type="dxa"/>
            <w:tcBorders>
              <w:top w:val="single" w:sz="4" w:space="0" w:color="auto"/>
              <w:left w:val="single" w:sz="4" w:space="0" w:color="auto"/>
            </w:tcBorders>
            <w:shd w:val="clear" w:color="auto" w:fill="D4DDE4"/>
          </w:tcPr>
          <w:p w:rsidR="00D65C97" w:rsidRDefault="00D65C97">
            <w:pPr>
              <w:rPr>
                <w:sz w:val="10"/>
                <w:szCs w:val="10"/>
              </w:rPr>
            </w:pPr>
          </w:p>
        </w:tc>
        <w:tc>
          <w:tcPr>
            <w:tcW w:w="1728" w:type="dxa"/>
            <w:tcBorders>
              <w:top w:val="single" w:sz="4" w:space="0" w:color="auto"/>
              <w:left w:val="single" w:sz="4" w:space="0" w:color="auto"/>
              <w:right w:val="single" w:sz="4" w:space="0" w:color="auto"/>
            </w:tcBorders>
            <w:shd w:val="clear" w:color="auto" w:fill="D4DDE4"/>
          </w:tcPr>
          <w:p w:rsidR="00D65C97" w:rsidRDefault="00D65C97">
            <w:pPr>
              <w:rPr>
                <w:sz w:val="10"/>
                <w:szCs w:val="10"/>
              </w:rPr>
            </w:pPr>
          </w:p>
        </w:tc>
      </w:tr>
      <w:tr w:rsidR="00286C2D">
        <w:trPr>
          <w:trHeight w:hRule="exact" w:val="2299"/>
          <w:jc w:val="center"/>
        </w:trPr>
        <w:tc>
          <w:tcPr>
            <w:tcW w:w="706" w:type="dxa"/>
            <w:tcBorders>
              <w:top w:val="single" w:sz="4" w:space="0" w:color="auto"/>
              <w:left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8.</w:t>
            </w:r>
          </w:p>
        </w:tc>
        <w:tc>
          <w:tcPr>
            <w:tcW w:w="1709"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180"/>
              <w:rPr>
                <w:sz w:val="22"/>
                <w:szCs w:val="22"/>
                <w:lang w:val="sq-AL"/>
              </w:rPr>
            </w:pPr>
            <w:r w:rsidRPr="00286C2D">
              <w:rPr>
                <w:sz w:val="22"/>
                <w:szCs w:val="22"/>
                <w:lang w:val="sq-AL"/>
              </w:rPr>
              <w:t>А. nr. 52003/18</w:t>
            </w:r>
          </w:p>
        </w:tc>
        <w:tc>
          <w:tcPr>
            <w:tcW w:w="1464"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21.03.2023</w:t>
            </w:r>
          </w:p>
        </w:tc>
        <w:tc>
          <w:tcPr>
            <w:tcW w:w="1560"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300"/>
              <w:rPr>
                <w:sz w:val="22"/>
                <w:szCs w:val="22"/>
                <w:lang w:val="sq-AL"/>
              </w:rPr>
            </w:pPr>
            <w:r w:rsidRPr="00286C2D">
              <w:rPr>
                <w:sz w:val="22"/>
                <w:szCs w:val="22"/>
                <w:lang w:val="sq-AL"/>
              </w:rPr>
              <w:t>21.03.2023</w:t>
            </w:r>
          </w:p>
        </w:tc>
        <w:tc>
          <w:tcPr>
            <w:tcW w:w="2554"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b/>
                <w:bCs/>
                <w:lang w:val="sq-AL"/>
              </w:rPr>
              <w:t>RADIKA</w:t>
            </w:r>
            <w:r>
              <w:rPr>
                <w:b/>
                <w:bCs/>
                <w:lang w:val="sq-AL"/>
              </w:rPr>
              <w:t xml:space="preserve"> </w:t>
            </w:r>
            <w:r w:rsidRPr="00CE5397">
              <w:rPr>
                <w:b/>
                <w:bCs/>
                <w:lang w:val="sq-AL"/>
              </w:rPr>
              <w:t>PREVOZI</w:t>
            </w:r>
            <w:r>
              <w:rPr>
                <w:b/>
                <w:bCs/>
                <w:lang w:val="sq-AL"/>
              </w:rPr>
              <w:t xml:space="preserve"> </w:t>
            </w:r>
            <w:r w:rsidRPr="00CE5397">
              <w:rPr>
                <w:b/>
                <w:bCs/>
                <w:lang w:val="sq-AL"/>
              </w:rPr>
              <w:t>SHPK</w:t>
            </w:r>
            <w:r>
              <w:rPr>
                <w:b/>
                <w:bCs/>
                <w:lang w:val="sq-AL"/>
              </w:rPr>
              <w:t xml:space="preserve"> </w:t>
            </w:r>
            <w:r w:rsidRPr="00CE5397">
              <w:rPr>
                <w:b/>
                <w:bCs/>
                <w:lang w:val="sq-AL"/>
              </w:rPr>
              <w:t>LUBJANA</w:t>
            </w:r>
          </w:p>
        </w:tc>
        <w:tc>
          <w:tcPr>
            <w:tcW w:w="4594" w:type="dxa"/>
            <w:tcBorders>
              <w:top w:val="single" w:sz="4" w:space="0" w:color="auto"/>
              <w:left w:val="single" w:sz="4" w:space="0" w:color="auto"/>
            </w:tcBorders>
            <w:shd w:val="clear" w:color="auto" w:fill="D4DDE4"/>
          </w:tcPr>
          <w:p w:rsidR="00286C2D" w:rsidRPr="00CE5397" w:rsidRDefault="00286C2D" w:rsidP="00C20371">
            <w:pPr>
              <w:pStyle w:val="Other0"/>
              <w:spacing w:after="0" w:line="240" w:lineRule="auto"/>
              <w:jc w:val="center"/>
              <w:rPr>
                <w:lang w:val="sq-AL"/>
              </w:rPr>
            </w:pPr>
            <w:r w:rsidRPr="00CE5397">
              <w:rPr>
                <w:b/>
                <w:bCs/>
                <w:lang w:val="sq-AL"/>
              </w:rPr>
              <w:t xml:space="preserve">Neni 1 i Protokollit numër 1 –e drejta e pronësisë </w:t>
            </w:r>
          </w:p>
          <w:p w:rsidR="00286C2D" w:rsidRPr="00CE5397" w:rsidRDefault="00286C2D" w:rsidP="00C20371">
            <w:pPr>
              <w:pStyle w:val="Other0"/>
              <w:spacing w:after="0" w:line="240" w:lineRule="auto"/>
              <w:jc w:val="center"/>
              <w:rPr>
                <w:lang w:val="sq-AL"/>
              </w:rPr>
            </w:pPr>
            <w:r w:rsidRPr="00CE5397">
              <w:rPr>
                <w:rStyle w:val="rynqvb"/>
                <w:rFonts w:eastAsia="Georgia"/>
                <w:lang w:val="sq-AL"/>
              </w:rPr>
              <w:t>Dështimi i gjykatave vendase për të përcaktuar nëse sekuestrimi i përkohshëm i automjetit të kompanisë ankuese në procedurën e kundërvajtjes ishte proporcional</w:t>
            </w:r>
          </w:p>
        </w:tc>
        <w:tc>
          <w:tcPr>
            <w:tcW w:w="1728" w:type="dxa"/>
            <w:tcBorders>
              <w:top w:val="single" w:sz="4" w:space="0" w:color="auto"/>
              <w:left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r w:rsidR="00286C2D">
        <w:trPr>
          <w:trHeight w:hRule="exact" w:val="2674"/>
          <w:jc w:val="center"/>
        </w:trPr>
        <w:tc>
          <w:tcPr>
            <w:tcW w:w="706" w:type="dxa"/>
            <w:tcBorders>
              <w:top w:val="single" w:sz="4" w:space="0" w:color="auto"/>
              <w:left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9.</w:t>
            </w:r>
          </w:p>
        </w:tc>
        <w:tc>
          <w:tcPr>
            <w:tcW w:w="1709"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180"/>
              <w:rPr>
                <w:sz w:val="22"/>
                <w:szCs w:val="22"/>
                <w:lang w:val="sq-AL"/>
              </w:rPr>
            </w:pPr>
            <w:r w:rsidRPr="00286C2D">
              <w:rPr>
                <w:sz w:val="22"/>
                <w:szCs w:val="22"/>
                <w:lang w:val="sq-AL"/>
              </w:rPr>
              <w:t>А. nr.</w:t>
            </w:r>
            <w:r w:rsidR="00C1447F">
              <w:rPr>
                <w:sz w:val="22"/>
                <w:szCs w:val="22"/>
                <w:lang w:val="sq-AL"/>
              </w:rPr>
              <w:t xml:space="preserve"> </w:t>
            </w:r>
            <w:r w:rsidRPr="00286C2D">
              <w:rPr>
                <w:sz w:val="22"/>
                <w:szCs w:val="22"/>
                <w:lang w:val="sq-AL"/>
              </w:rPr>
              <w:t>13919/18</w:t>
            </w:r>
          </w:p>
        </w:tc>
        <w:tc>
          <w:tcPr>
            <w:tcW w:w="1464"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04.04.2023</w:t>
            </w:r>
          </w:p>
        </w:tc>
        <w:tc>
          <w:tcPr>
            <w:tcW w:w="1560"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300"/>
              <w:rPr>
                <w:sz w:val="22"/>
                <w:szCs w:val="22"/>
                <w:lang w:val="sq-AL"/>
              </w:rPr>
            </w:pPr>
            <w:r w:rsidRPr="00286C2D">
              <w:rPr>
                <w:sz w:val="22"/>
                <w:szCs w:val="22"/>
                <w:lang w:val="sq-AL"/>
              </w:rPr>
              <w:t>04.04.2023</w:t>
            </w:r>
          </w:p>
        </w:tc>
        <w:tc>
          <w:tcPr>
            <w:tcW w:w="2554"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b/>
                <w:bCs/>
                <w:lang w:val="sq-AL"/>
              </w:rPr>
              <w:t>DIMÇEVSKA</w:t>
            </w:r>
          </w:p>
        </w:tc>
        <w:tc>
          <w:tcPr>
            <w:tcW w:w="4594"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120" w:line="240" w:lineRule="auto"/>
              <w:jc w:val="center"/>
              <w:rPr>
                <w:lang w:val="sq-AL"/>
              </w:rPr>
            </w:pPr>
            <w:r w:rsidRPr="00CE5397">
              <w:rPr>
                <w:b/>
                <w:bCs/>
                <w:lang w:val="sq-AL"/>
              </w:rPr>
              <w:t>Neni 6 i Konventës</w:t>
            </w:r>
          </w:p>
          <w:p w:rsidR="00286C2D" w:rsidRPr="00CE5397" w:rsidRDefault="00286C2D" w:rsidP="00C20371">
            <w:pPr>
              <w:pStyle w:val="Other0"/>
              <w:spacing w:after="0" w:line="240" w:lineRule="auto"/>
              <w:jc w:val="center"/>
              <w:rPr>
                <w:lang w:val="sq-AL"/>
              </w:rPr>
            </w:pPr>
            <w:r w:rsidRPr="00CE5397">
              <w:rPr>
                <w:rStyle w:val="rynqvb"/>
                <w:rFonts w:eastAsia="Georgia"/>
                <w:lang w:val="sq-AL"/>
              </w:rPr>
              <w:t>E drejta për gjykim të drejtë në procedurë penale - gjykimi në mungesë (pamundësia për të fituar të drejtën e rihapjes së procedurës për qëllime të përcaktimit të dënimit penal pas një gjykimi në mungesë</w:t>
            </w:r>
            <w:r w:rsidRPr="00CE5397">
              <w:rPr>
                <w:lang w:val="sq-AL"/>
              </w:rPr>
              <w:t>)</w:t>
            </w:r>
          </w:p>
        </w:tc>
        <w:tc>
          <w:tcPr>
            <w:tcW w:w="1728" w:type="dxa"/>
            <w:tcBorders>
              <w:top w:val="single" w:sz="4" w:space="0" w:color="auto"/>
              <w:left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r w:rsidR="00286C2D">
        <w:trPr>
          <w:trHeight w:hRule="exact" w:val="1920"/>
          <w:jc w:val="center"/>
        </w:trPr>
        <w:tc>
          <w:tcPr>
            <w:tcW w:w="706" w:type="dxa"/>
            <w:tcBorders>
              <w:top w:val="single" w:sz="4" w:space="0" w:color="auto"/>
              <w:left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10.</w:t>
            </w:r>
          </w:p>
        </w:tc>
        <w:tc>
          <w:tcPr>
            <w:tcW w:w="1709"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180"/>
              <w:rPr>
                <w:sz w:val="22"/>
                <w:szCs w:val="22"/>
                <w:lang w:val="sq-AL"/>
              </w:rPr>
            </w:pPr>
            <w:r w:rsidRPr="00286C2D">
              <w:rPr>
                <w:sz w:val="22"/>
                <w:szCs w:val="22"/>
                <w:lang w:val="sq-AL"/>
              </w:rPr>
              <w:t>А. nr. 53030/19</w:t>
            </w:r>
          </w:p>
        </w:tc>
        <w:tc>
          <w:tcPr>
            <w:tcW w:w="1464"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09.05.2023</w:t>
            </w:r>
          </w:p>
        </w:tc>
        <w:tc>
          <w:tcPr>
            <w:tcW w:w="1560"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300"/>
              <w:rPr>
                <w:sz w:val="22"/>
                <w:szCs w:val="22"/>
                <w:lang w:val="sq-AL"/>
              </w:rPr>
            </w:pPr>
            <w:r w:rsidRPr="00286C2D">
              <w:rPr>
                <w:sz w:val="22"/>
                <w:szCs w:val="22"/>
                <w:lang w:val="sq-AL"/>
              </w:rPr>
              <w:t>09.08.2023</w:t>
            </w:r>
          </w:p>
        </w:tc>
        <w:tc>
          <w:tcPr>
            <w:tcW w:w="2554"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b/>
                <w:lang w:val="sq-AL"/>
              </w:rPr>
            </w:pPr>
            <w:r w:rsidRPr="00CE5397">
              <w:rPr>
                <w:rStyle w:val="rynqvb"/>
                <w:rFonts w:eastAsia="Georgia"/>
                <w:b/>
                <w:lang w:val="sq-AL"/>
              </w:rPr>
              <w:t>KITANOVSKA DHE BARBULOVSKI</w:t>
            </w:r>
          </w:p>
        </w:tc>
        <w:tc>
          <w:tcPr>
            <w:tcW w:w="4594" w:type="dxa"/>
            <w:tcBorders>
              <w:top w:val="single" w:sz="4" w:space="0" w:color="auto"/>
              <w:left w:val="single" w:sz="4" w:space="0" w:color="auto"/>
            </w:tcBorders>
            <w:shd w:val="clear" w:color="auto" w:fill="D4DDE4"/>
          </w:tcPr>
          <w:p w:rsidR="00286C2D" w:rsidRPr="00CE5397" w:rsidRDefault="00286C2D" w:rsidP="00C20371">
            <w:pPr>
              <w:pStyle w:val="Other0"/>
              <w:spacing w:after="120" w:line="240" w:lineRule="auto"/>
              <w:jc w:val="center"/>
              <w:rPr>
                <w:lang w:val="sq-AL"/>
              </w:rPr>
            </w:pPr>
            <w:r w:rsidRPr="00CE5397">
              <w:rPr>
                <w:b/>
                <w:bCs/>
                <w:lang w:val="sq-AL"/>
              </w:rPr>
              <w:t>Neni 6 i Konventës</w:t>
            </w:r>
          </w:p>
          <w:p w:rsidR="00286C2D" w:rsidRPr="00CE5397" w:rsidRDefault="00286C2D" w:rsidP="00C20371">
            <w:pPr>
              <w:pStyle w:val="Other0"/>
              <w:spacing w:after="0" w:line="240" w:lineRule="auto"/>
              <w:jc w:val="center"/>
              <w:rPr>
                <w:lang w:val="sq-AL"/>
              </w:rPr>
            </w:pPr>
            <w:r w:rsidRPr="00CE5397">
              <w:rPr>
                <w:rStyle w:val="rynqvb"/>
                <w:rFonts w:eastAsia="Georgia"/>
                <w:lang w:val="sq-AL"/>
              </w:rPr>
              <w:t>E drejta e aksesit në gjykatë për shkak të rrëzimit të padisë së aplikantit kundër urdhërpagesave noteriale për shkak se ato nuk ishin përgatitur nga një avokat</w:t>
            </w:r>
          </w:p>
        </w:tc>
        <w:tc>
          <w:tcPr>
            <w:tcW w:w="1728" w:type="dxa"/>
            <w:tcBorders>
              <w:top w:val="single" w:sz="4" w:space="0" w:color="auto"/>
              <w:left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r w:rsidR="00286C2D">
        <w:trPr>
          <w:trHeight w:hRule="exact" w:val="1176"/>
          <w:jc w:val="center"/>
        </w:trPr>
        <w:tc>
          <w:tcPr>
            <w:tcW w:w="706" w:type="dxa"/>
            <w:tcBorders>
              <w:top w:val="single" w:sz="4" w:space="0" w:color="auto"/>
              <w:left w:val="single" w:sz="4" w:space="0" w:color="auto"/>
              <w:bottom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11.</w:t>
            </w:r>
          </w:p>
        </w:tc>
        <w:tc>
          <w:tcPr>
            <w:tcW w:w="1709" w:type="dxa"/>
            <w:tcBorders>
              <w:top w:val="single" w:sz="4" w:space="0" w:color="auto"/>
              <w:left w:val="single" w:sz="4" w:space="0" w:color="auto"/>
              <w:bottom w:val="single" w:sz="4" w:space="0" w:color="auto"/>
            </w:tcBorders>
            <w:shd w:val="clear" w:color="auto" w:fill="D4DDE4"/>
            <w:vAlign w:val="center"/>
          </w:tcPr>
          <w:p w:rsidR="00286C2D" w:rsidRPr="00286C2D" w:rsidRDefault="00286C2D" w:rsidP="00C20371">
            <w:pPr>
              <w:pStyle w:val="Other0"/>
              <w:spacing w:after="0" w:line="240" w:lineRule="auto"/>
              <w:ind w:firstLine="180"/>
              <w:rPr>
                <w:sz w:val="22"/>
                <w:szCs w:val="22"/>
                <w:lang w:val="sq-AL"/>
              </w:rPr>
            </w:pPr>
            <w:r w:rsidRPr="00286C2D">
              <w:rPr>
                <w:sz w:val="22"/>
                <w:szCs w:val="22"/>
                <w:lang w:val="sq-AL"/>
              </w:rPr>
              <w:t>А. nr. 44033/17</w:t>
            </w:r>
          </w:p>
        </w:tc>
        <w:tc>
          <w:tcPr>
            <w:tcW w:w="1464" w:type="dxa"/>
            <w:tcBorders>
              <w:top w:val="single" w:sz="4" w:space="0" w:color="auto"/>
              <w:left w:val="single" w:sz="4" w:space="0" w:color="auto"/>
              <w:bottom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18.07.2023</w:t>
            </w:r>
          </w:p>
        </w:tc>
        <w:tc>
          <w:tcPr>
            <w:tcW w:w="1560" w:type="dxa"/>
            <w:tcBorders>
              <w:top w:val="single" w:sz="4" w:space="0" w:color="auto"/>
              <w:left w:val="single" w:sz="4" w:space="0" w:color="auto"/>
              <w:bottom w:val="single" w:sz="4" w:space="0" w:color="auto"/>
            </w:tcBorders>
            <w:shd w:val="clear" w:color="auto" w:fill="D4DDE4"/>
            <w:vAlign w:val="center"/>
          </w:tcPr>
          <w:p w:rsidR="00286C2D" w:rsidRPr="00286C2D" w:rsidRDefault="00286C2D" w:rsidP="00C20371">
            <w:pPr>
              <w:pStyle w:val="Other0"/>
              <w:spacing w:after="0" w:line="240" w:lineRule="auto"/>
              <w:ind w:firstLine="300"/>
              <w:rPr>
                <w:sz w:val="22"/>
                <w:szCs w:val="22"/>
                <w:lang w:val="sq-AL"/>
              </w:rPr>
            </w:pPr>
            <w:r w:rsidRPr="00286C2D">
              <w:rPr>
                <w:sz w:val="22"/>
                <w:szCs w:val="22"/>
                <w:lang w:val="sq-AL"/>
              </w:rPr>
              <w:t>18.10.2023</w:t>
            </w:r>
          </w:p>
        </w:tc>
        <w:tc>
          <w:tcPr>
            <w:tcW w:w="2554" w:type="dxa"/>
            <w:tcBorders>
              <w:top w:val="single" w:sz="4" w:space="0" w:color="auto"/>
              <w:left w:val="single" w:sz="4" w:space="0" w:color="auto"/>
              <w:bottom w:val="single" w:sz="4" w:space="0" w:color="auto"/>
            </w:tcBorders>
            <w:shd w:val="clear" w:color="auto" w:fill="D4DDE4"/>
            <w:vAlign w:val="center"/>
          </w:tcPr>
          <w:p w:rsidR="00286C2D" w:rsidRPr="00CE5397" w:rsidRDefault="00286C2D" w:rsidP="00C20371">
            <w:pPr>
              <w:pStyle w:val="Other0"/>
              <w:spacing w:after="0" w:line="240" w:lineRule="auto"/>
              <w:jc w:val="center"/>
              <w:rPr>
                <w:b/>
                <w:lang w:val="sq-AL"/>
              </w:rPr>
            </w:pPr>
            <w:r w:rsidRPr="00CE5397">
              <w:rPr>
                <w:b/>
                <w:bCs/>
                <w:lang w:val="sq-AL"/>
              </w:rPr>
              <w:t xml:space="preserve">D.H. </w:t>
            </w:r>
            <w:r w:rsidRPr="00CE5397">
              <w:rPr>
                <w:rStyle w:val="rynqvb"/>
                <w:rFonts w:eastAsia="Georgia"/>
                <w:b/>
                <w:lang w:val="sq-AL"/>
              </w:rPr>
              <w:t>DHE TË TJERË</w:t>
            </w:r>
          </w:p>
        </w:tc>
        <w:tc>
          <w:tcPr>
            <w:tcW w:w="4594" w:type="dxa"/>
            <w:tcBorders>
              <w:top w:val="single" w:sz="4" w:space="0" w:color="auto"/>
              <w:left w:val="single" w:sz="4" w:space="0" w:color="auto"/>
              <w:bottom w:val="single" w:sz="4" w:space="0" w:color="auto"/>
            </w:tcBorders>
            <w:shd w:val="clear" w:color="auto" w:fill="D4DDE4"/>
          </w:tcPr>
          <w:p w:rsidR="00286C2D" w:rsidRPr="00CE5397" w:rsidRDefault="00286C2D" w:rsidP="00C20371">
            <w:pPr>
              <w:pStyle w:val="Other0"/>
              <w:spacing w:after="0" w:line="240" w:lineRule="auto"/>
              <w:jc w:val="center"/>
              <w:rPr>
                <w:lang w:val="sq-AL"/>
              </w:rPr>
            </w:pPr>
            <w:r w:rsidRPr="00CE5397">
              <w:rPr>
                <w:b/>
                <w:bCs/>
                <w:lang w:val="sq-AL"/>
              </w:rPr>
              <w:t>Neni 3 –aspekti material (</w:t>
            </w:r>
            <w:r w:rsidRPr="00CE5397">
              <w:rPr>
                <w:rStyle w:val="rynqvb"/>
                <w:rFonts w:eastAsia="Georgia"/>
                <w:b/>
                <w:lang w:val="sq-AL"/>
              </w:rPr>
              <w:t>Trajtim çnjerëzor ose poshtërues</w:t>
            </w:r>
            <w:r w:rsidRPr="00CE5397">
              <w:rPr>
                <w:b/>
                <w:bCs/>
                <w:lang w:val="sq-AL"/>
              </w:rPr>
              <w:t xml:space="preserve">) </w:t>
            </w:r>
            <w:r w:rsidRPr="00CE5397">
              <w:rPr>
                <w:rStyle w:val="rynqvb"/>
                <w:rFonts w:eastAsia="Georgia"/>
                <w:lang w:val="sq-AL"/>
              </w:rPr>
              <w:t>Dështimi i autoriteteve shtetërore për të demonstruar</w:t>
            </w:r>
          </w:p>
        </w:tc>
        <w:tc>
          <w:tcPr>
            <w:tcW w:w="1728" w:type="dxa"/>
            <w:tcBorders>
              <w:top w:val="single" w:sz="4" w:space="0" w:color="auto"/>
              <w:left w:val="single" w:sz="4" w:space="0" w:color="auto"/>
              <w:bottom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bl>
    <w:p w:rsidR="00D65C97" w:rsidRDefault="003B25C9">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701"/>
        <w:gridCol w:w="1709"/>
        <w:gridCol w:w="1464"/>
        <w:gridCol w:w="1560"/>
        <w:gridCol w:w="2558"/>
        <w:gridCol w:w="4589"/>
        <w:gridCol w:w="1733"/>
      </w:tblGrid>
      <w:tr w:rsidR="00D65C97">
        <w:trPr>
          <w:trHeight w:hRule="exact" w:val="4243"/>
          <w:jc w:val="center"/>
        </w:trPr>
        <w:tc>
          <w:tcPr>
            <w:tcW w:w="701" w:type="dxa"/>
            <w:tcBorders>
              <w:top w:val="single" w:sz="4" w:space="0" w:color="auto"/>
              <w:left w:val="single" w:sz="4" w:space="0" w:color="auto"/>
            </w:tcBorders>
            <w:shd w:val="clear" w:color="auto" w:fill="D4DDE4"/>
          </w:tcPr>
          <w:p w:rsidR="00D65C97" w:rsidRDefault="00D65C97">
            <w:pPr>
              <w:rPr>
                <w:sz w:val="10"/>
                <w:szCs w:val="10"/>
              </w:rPr>
            </w:pPr>
          </w:p>
        </w:tc>
        <w:tc>
          <w:tcPr>
            <w:tcW w:w="1709" w:type="dxa"/>
            <w:tcBorders>
              <w:top w:val="single" w:sz="4" w:space="0" w:color="auto"/>
              <w:left w:val="single" w:sz="4" w:space="0" w:color="auto"/>
            </w:tcBorders>
            <w:shd w:val="clear" w:color="auto" w:fill="D4DDE4"/>
          </w:tcPr>
          <w:p w:rsidR="00D65C97" w:rsidRDefault="00D65C97">
            <w:pPr>
              <w:rPr>
                <w:sz w:val="10"/>
                <w:szCs w:val="10"/>
              </w:rPr>
            </w:pPr>
          </w:p>
        </w:tc>
        <w:tc>
          <w:tcPr>
            <w:tcW w:w="1464" w:type="dxa"/>
            <w:tcBorders>
              <w:top w:val="single" w:sz="4" w:space="0" w:color="auto"/>
              <w:left w:val="single" w:sz="4" w:space="0" w:color="auto"/>
            </w:tcBorders>
            <w:shd w:val="clear" w:color="auto" w:fill="D4DDE4"/>
          </w:tcPr>
          <w:p w:rsidR="00D65C97" w:rsidRDefault="00D65C97">
            <w:pPr>
              <w:rPr>
                <w:sz w:val="10"/>
                <w:szCs w:val="10"/>
              </w:rPr>
            </w:pPr>
          </w:p>
        </w:tc>
        <w:tc>
          <w:tcPr>
            <w:tcW w:w="1560" w:type="dxa"/>
            <w:tcBorders>
              <w:top w:val="single" w:sz="4" w:space="0" w:color="auto"/>
              <w:left w:val="single" w:sz="4" w:space="0" w:color="auto"/>
            </w:tcBorders>
            <w:shd w:val="clear" w:color="auto" w:fill="D4DDE4"/>
          </w:tcPr>
          <w:p w:rsidR="00D65C97" w:rsidRDefault="00D65C97">
            <w:pPr>
              <w:rPr>
                <w:sz w:val="10"/>
                <w:szCs w:val="10"/>
              </w:rPr>
            </w:pPr>
          </w:p>
        </w:tc>
        <w:tc>
          <w:tcPr>
            <w:tcW w:w="2558" w:type="dxa"/>
            <w:tcBorders>
              <w:top w:val="single" w:sz="4" w:space="0" w:color="auto"/>
              <w:left w:val="single" w:sz="4" w:space="0" w:color="auto"/>
            </w:tcBorders>
            <w:shd w:val="clear" w:color="auto" w:fill="D4DDE4"/>
          </w:tcPr>
          <w:p w:rsidR="00D65C97" w:rsidRDefault="00D65C97">
            <w:pPr>
              <w:rPr>
                <w:sz w:val="10"/>
                <w:szCs w:val="10"/>
              </w:rPr>
            </w:pPr>
          </w:p>
        </w:tc>
        <w:tc>
          <w:tcPr>
            <w:tcW w:w="4589" w:type="dxa"/>
            <w:tcBorders>
              <w:top w:val="single" w:sz="4" w:space="0" w:color="auto"/>
              <w:left w:val="single" w:sz="4" w:space="0" w:color="auto"/>
            </w:tcBorders>
            <w:shd w:val="clear" w:color="auto" w:fill="D4DDE4"/>
            <w:vAlign w:val="center"/>
          </w:tcPr>
          <w:p w:rsidR="00D65C97" w:rsidRDefault="003B25C9">
            <w:pPr>
              <w:pStyle w:val="Other0"/>
              <w:spacing w:after="240" w:line="240" w:lineRule="auto"/>
              <w:jc w:val="center"/>
              <w:rPr>
                <w:sz w:val="22"/>
                <w:szCs w:val="22"/>
              </w:rPr>
            </w:pPr>
            <w:r>
              <w:rPr>
                <w:sz w:val="22"/>
                <w:szCs w:val="22"/>
              </w:rPr>
              <w:t>доволно докази кои убедливо покажуваат дека полициските власти на приведените сексуални работници им обезбедиле храна, вода и пристап до тоалет</w:t>
            </w:r>
          </w:p>
          <w:p w:rsidR="00286C2D" w:rsidRPr="00CE5397" w:rsidRDefault="00286C2D" w:rsidP="00286C2D">
            <w:pPr>
              <w:pStyle w:val="Other0"/>
              <w:spacing w:after="0" w:line="240" w:lineRule="auto"/>
              <w:jc w:val="center"/>
              <w:rPr>
                <w:lang w:val="sq-AL"/>
              </w:rPr>
            </w:pPr>
            <w:r w:rsidRPr="00CE5397">
              <w:rPr>
                <w:b/>
                <w:bCs/>
                <w:lang w:val="sq-AL"/>
              </w:rPr>
              <w:t>Neni 8 (</w:t>
            </w:r>
            <w:r w:rsidRPr="00CE5397">
              <w:rPr>
                <w:rStyle w:val="rynqvb"/>
                <w:rFonts w:eastAsia="Georgia"/>
                <w:b/>
                <w:lang w:val="sq-AL"/>
              </w:rPr>
              <w:t>E drejta e respektimit të jetës private dhe familjare</w:t>
            </w:r>
            <w:r w:rsidRPr="00CE5397">
              <w:rPr>
                <w:b/>
                <w:bCs/>
                <w:lang w:val="sq-AL"/>
              </w:rPr>
              <w:t>)</w:t>
            </w:r>
          </w:p>
          <w:p w:rsidR="00D65C97" w:rsidRDefault="00286C2D" w:rsidP="00286C2D">
            <w:pPr>
              <w:pStyle w:val="Other0"/>
              <w:spacing w:after="0" w:line="240" w:lineRule="auto"/>
              <w:jc w:val="center"/>
              <w:rPr>
                <w:sz w:val="22"/>
                <w:szCs w:val="22"/>
              </w:rPr>
            </w:pPr>
            <w:r w:rsidRPr="00CE5397">
              <w:rPr>
                <w:rStyle w:val="rynqvb"/>
                <w:rFonts w:eastAsia="Georgia"/>
                <w:lang w:val="sq-AL"/>
              </w:rPr>
              <w:t>Dështimi i gjykatave vendase për të mbrojtur të drejtën e respektimit të jetës private të punonjësve të seksit të ndaluar nga cenimi duke publikuar fotografitë e tyre të realizuara gjatë paraburgimit në ueb-faqen e Ministrisë së Brendshme. Gjykata e Apelit nuk ka arsyetuar mjaftueshëm në vendimet e saj</w:t>
            </w:r>
            <w:r w:rsidR="003B25C9">
              <w:rPr>
                <w:sz w:val="22"/>
                <w:szCs w:val="22"/>
              </w:rPr>
              <w:t>.</w:t>
            </w:r>
          </w:p>
        </w:tc>
        <w:tc>
          <w:tcPr>
            <w:tcW w:w="1733" w:type="dxa"/>
            <w:tcBorders>
              <w:top w:val="single" w:sz="4" w:space="0" w:color="auto"/>
              <w:left w:val="single" w:sz="4" w:space="0" w:color="auto"/>
              <w:right w:val="single" w:sz="4" w:space="0" w:color="auto"/>
            </w:tcBorders>
            <w:shd w:val="clear" w:color="auto" w:fill="D4DDE4"/>
          </w:tcPr>
          <w:p w:rsidR="00D65C97" w:rsidRDefault="00D65C97">
            <w:pPr>
              <w:rPr>
                <w:sz w:val="10"/>
                <w:szCs w:val="10"/>
              </w:rPr>
            </w:pPr>
          </w:p>
        </w:tc>
      </w:tr>
      <w:tr w:rsidR="00286C2D">
        <w:trPr>
          <w:trHeight w:hRule="exact" w:val="2150"/>
          <w:jc w:val="center"/>
        </w:trPr>
        <w:tc>
          <w:tcPr>
            <w:tcW w:w="701" w:type="dxa"/>
            <w:tcBorders>
              <w:top w:val="single" w:sz="4" w:space="0" w:color="auto"/>
              <w:left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12.</w:t>
            </w:r>
          </w:p>
        </w:tc>
        <w:tc>
          <w:tcPr>
            <w:tcW w:w="1709"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А. nr. 64163/19</w:t>
            </w:r>
          </w:p>
        </w:tc>
        <w:tc>
          <w:tcPr>
            <w:tcW w:w="1464"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30.11.2023</w:t>
            </w:r>
          </w:p>
        </w:tc>
        <w:tc>
          <w:tcPr>
            <w:tcW w:w="1560"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30.11.2023</w:t>
            </w:r>
          </w:p>
        </w:tc>
        <w:tc>
          <w:tcPr>
            <w:tcW w:w="2558"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b/>
                <w:bCs/>
                <w:lang w:val="sq-AL"/>
              </w:rPr>
              <w:t>S.B.</w:t>
            </w:r>
          </w:p>
        </w:tc>
        <w:tc>
          <w:tcPr>
            <w:tcW w:w="4589"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b/>
                <w:bCs/>
                <w:lang w:val="sq-AL"/>
              </w:rPr>
              <w:t xml:space="preserve">Neni 1 i Protokollit nr. 7 (Garanci procedurale në rastin e dëbimit të të huajit) </w:t>
            </w:r>
            <w:r w:rsidRPr="00CE5397">
              <w:rPr>
                <w:rStyle w:val="rynqvb"/>
                <w:rFonts w:eastAsia="Georgia"/>
                <w:lang w:val="sq-AL"/>
              </w:rPr>
              <w:t>Pamundësia e aplikantes për të kundërshtuar provat e mbështetura nga autoritetet vendase në procedurat për dëbimin e saj gjatë viteve 2018-2019</w:t>
            </w:r>
            <w:r w:rsidRPr="00CE5397">
              <w:rPr>
                <w:lang w:val="sq-AL"/>
              </w:rPr>
              <w:t>.</w:t>
            </w:r>
          </w:p>
        </w:tc>
        <w:tc>
          <w:tcPr>
            <w:tcW w:w="1733" w:type="dxa"/>
            <w:tcBorders>
              <w:top w:val="single" w:sz="4" w:space="0" w:color="auto"/>
              <w:left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r w:rsidR="00286C2D">
        <w:trPr>
          <w:trHeight w:hRule="exact" w:val="2155"/>
          <w:jc w:val="center"/>
        </w:trPr>
        <w:tc>
          <w:tcPr>
            <w:tcW w:w="701" w:type="dxa"/>
            <w:tcBorders>
              <w:top w:val="single" w:sz="4" w:space="0" w:color="auto"/>
              <w:left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13.</w:t>
            </w:r>
          </w:p>
        </w:tc>
        <w:tc>
          <w:tcPr>
            <w:tcW w:w="1709"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А. nr. 31620/15</w:t>
            </w:r>
          </w:p>
        </w:tc>
        <w:tc>
          <w:tcPr>
            <w:tcW w:w="1464"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12.12.2023</w:t>
            </w:r>
          </w:p>
        </w:tc>
        <w:tc>
          <w:tcPr>
            <w:tcW w:w="1560"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12.03.2024</w:t>
            </w:r>
          </w:p>
        </w:tc>
        <w:tc>
          <w:tcPr>
            <w:tcW w:w="2558"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b/>
                <w:lang w:val="sq-AL"/>
              </w:rPr>
            </w:pPr>
            <w:r w:rsidRPr="00CE5397">
              <w:rPr>
                <w:rStyle w:val="rynqvb"/>
                <w:rFonts w:eastAsia="Georgia"/>
                <w:b/>
                <w:lang w:val="sq-AL"/>
              </w:rPr>
              <w:t>NASKOV DHE TË TJERË</w:t>
            </w:r>
          </w:p>
        </w:tc>
        <w:tc>
          <w:tcPr>
            <w:tcW w:w="4589"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b/>
                <w:bCs/>
                <w:lang w:val="sq-AL"/>
              </w:rPr>
              <w:t xml:space="preserve">Neni 1 i Protokollit numër 1 –e drejta e pronësisë </w:t>
            </w:r>
          </w:p>
          <w:p w:rsidR="00286C2D" w:rsidRPr="00CE5397" w:rsidRDefault="00286C2D" w:rsidP="00C20371">
            <w:pPr>
              <w:pStyle w:val="Other0"/>
              <w:spacing w:after="0" w:line="240" w:lineRule="auto"/>
              <w:jc w:val="center"/>
              <w:rPr>
                <w:lang w:val="sq-AL"/>
              </w:rPr>
            </w:pPr>
            <w:r w:rsidRPr="00CE5397">
              <w:rPr>
                <w:rStyle w:val="rynqvb"/>
                <w:rFonts w:eastAsia="Georgia"/>
                <w:lang w:val="sq-AL"/>
              </w:rPr>
              <w:t>Anulimi i vendimit të formës së prerë për denacionalizim për dhënien e pronësisë së një parcele për aplikantët, për shkak të pamundësisë ligjore dhe faktike të ekzekutimit të vendimit për shkak të palëve të treta, të cilët ndërkohë kanë ndërtuar objekt në parcelë</w:t>
            </w:r>
          </w:p>
        </w:tc>
        <w:tc>
          <w:tcPr>
            <w:tcW w:w="1733" w:type="dxa"/>
            <w:tcBorders>
              <w:top w:val="single" w:sz="4" w:space="0" w:color="auto"/>
              <w:left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r w:rsidR="00286C2D">
        <w:trPr>
          <w:trHeight w:hRule="exact" w:val="802"/>
          <w:jc w:val="center"/>
        </w:trPr>
        <w:tc>
          <w:tcPr>
            <w:tcW w:w="701" w:type="dxa"/>
            <w:tcBorders>
              <w:top w:val="single" w:sz="4" w:space="0" w:color="auto"/>
              <w:left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14.</w:t>
            </w:r>
          </w:p>
        </w:tc>
        <w:tc>
          <w:tcPr>
            <w:tcW w:w="1709"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А. nr.</w:t>
            </w:r>
            <w:r w:rsidR="00C1447F">
              <w:rPr>
                <w:sz w:val="22"/>
                <w:szCs w:val="22"/>
                <w:lang w:val="sq-AL"/>
              </w:rPr>
              <w:t xml:space="preserve"> </w:t>
            </w:r>
            <w:r w:rsidRPr="00286C2D">
              <w:rPr>
                <w:sz w:val="22"/>
                <w:szCs w:val="22"/>
                <w:lang w:val="sq-AL"/>
              </w:rPr>
              <w:t>52572/18</w:t>
            </w:r>
          </w:p>
        </w:tc>
        <w:tc>
          <w:tcPr>
            <w:tcW w:w="1464"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06.02.2024</w:t>
            </w:r>
          </w:p>
        </w:tc>
        <w:tc>
          <w:tcPr>
            <w:tcW w:w="1560" w:type="dxa"/>
            <w:tcBorders>
              <w:top w:val="single" w:sz="4" w:space="0" w:color="auto"/>
              <w:left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06.02.2024</w:t>
            </w:r>
          </w:p>
        </w:tc>
        <w:tc>
          <w:tcPr>
            <w:tcW w:w="2558" w:type="dxa"/>
            <w:tcBorders>
              <w:top w:val="single" w:sz="4" w:space="0" w:color="auto"/>
              <w:lef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b/>
                <w:bCs/>
                <w:lang w:val="sq-AL"/>
              </w:rPr>
              <w:t>ZHEZHOVSKI</w:t>
            </w:r>
          </w:p>
        </w:tc>
        <w:tc>
          <w:tcPr>
            <w:tcW w:w="4589" w:type="dxa"/>
            <w:tcBorders>
              <w:top w:val="single" w:sz="4" w:space="0" w:color="auto"/>
              <w:left w:val="single" w:sz="4" w:space="0" w:color="auto"/>
            </w:tcBorders>
            <w:shd w:val="clear" w:color="auto" w:fill="D4DDE4"/>
            <w:vAlign w:val="bottom"/>
          </w:tcPr>
          <w:p w:rsidR="00286C2D" w:rsidRPr="00CE5397" w:rsidRDefault="00286C2D" w:rsidP="00C20371">
            <w:pPr>
              <w:pStyle w:val="Other0"/>
              <w:spacing w:after="0" w:line="240" w:lineRule="auto"/>
              <w:jc w:val="center"/>
              <w:rPr>
                <w:lang w:val="sq-AL"/>
              </w:rPr>
            </w:pPr>
            <w:r w:rsidRPr="00CE5397">
              <w:rPr>
                <w:b/>
                <w:bCs/>
                <w:lang w:val="sq-AL"/>
              </w:rPr>
              <w:t xml:space="preserve">Neni 6 i Konventës </w:t>
            </w:r>
          </w:p>
          <w:p w:rsidR="00286C2D" w:rsidRPr="00CE5397" w:rsidRDefault="00286C2D" w:rsidP="00C20371">
            <w:pPr>
              <w:pStyle w:val="Other0"/>
              <w:spacing w:after="0" w:line="240" w:lineRule="auto"/>
              <w:jc w:val="center"/>
              <w:rPr>
                <w:lang w:val="sq-AL"/>
              </w:rPr>
            </w:pPr>
            <w:r w:rsidRPr="00CE5397">
              <w:rPr>
                <w:rStyle w:val="rynqvb"/>
                <w:rFonts w:eastAsia="Georgia"/>
                <w:lang w:val="sq-AL"/>
              </w:rPr>
              <w:t>Arbitrariteti në vendimmarrjen e gjykatave vendase në procedurën e kundërekzekutimit</w:t>
            </w:r>
          </w:p>
        </w:tc>
        <w:tc>
          <w:tcPr>
            <w:tcW w:w="1733" w:type="dxa"/>
            <w:tcBorders>
              <w:top w:val="single" w:sz="4" w:space="0" w:color="auto"/>
              <w:left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r w:rsidR="00286C2D">
        <w:trPr>
          <w:trHeight w:hRule="exact" w:val="816"/>
          <w:jc w:val="center"/>
        </w:trPr>
        <w:tc>
          <w:tcPr>
            <w:tcW w:w="701" w:type="dxa"/>
            <w:tcBorders>
              <w:top w:val="single" w:sz="4" w:space="0" w:color="auto"/>
              <w:left w:val="single" w:sz="4" w:space="0" w:color="auto"/>
              <w:bottom w:val="single" w:sz="4" w:space="0" w:color="auto"/>
            </w:tcBorders>
            <w:shd w:val="clear" w:color="auto" w:fill="D4DDE4"/>
            <w:vAlign w:val="center"/>
          </w:tcPr>
          <w:p w:rsidR="00286C2D" w:rsidRDefault="00286C2D">
            <w:pPr>
              <w:pStyle w:val="Other0"/>
              <w:spacing w:after="0" w:line="240" w:lineRule="auto"/>
              <w:jc w:val="center"/>
              <w:rPr>
                <w:sz w:val="22"/>
                <w:szCs w:val="22"/>
              </w:rPr>
            </w:pPr>
            <w:r>
              <w:rPr>
                <w:sz w:val="22"/>
                <w:szCs w:val="22"/>
              </w:rPr>
              <w:t>15.</w:t>
            </w:r>
          </w:p>
        </w:tc>
        <w:tc>
          <w:tcPr>
            <w:tcW w:w="1709" w:type="dxa"/>
            <w:tcBorders>
              <w:top w:val="single" w:sz="4" w:space="0" w:color="auto"/>
              <w:left w:val="single" w:sz="4" w:space="0" w:color="auto"/>
              <w:bottom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А. nr.</w:t>
            </w:r>
            <w:r w:rsidR="00C1447F">
              <w:rPr>
                <w:sz w:val="22"/>
                <w:szCs w:val="22"/>
                <w:lang w:val="sq-AL"/>
              </w:rPr>
              <w:t xml:space="preserve"> </w:t>
            </w:r>
            <w:r w:rsidRPr="00286C2D">
              <w:rPr>
                <w:sz w:val="22"/>
                <w:szCs w:val="22"/>
                <w:lang w:val="sq-AL"/>
              </w:rPr>
              <w:t>53040/19</w:t>
            </w:r>
          </w:p>
        </w:tc>
        <w:tc>
          <w:tcPr>
            <w:tcW w:w="1464" w:type="dxa"/>
            <w:tcBorders>
              <w:top w:val="single" w:sz="4" w:space="0" w:color="auto"/>
              <w:left w:val="single" w:sz="4" w:space="0" w:color="auto"/>
              <w:bottom w:val="single" w:sz="4" w:space="0" w:color="auto"/>
            </w:tcBorders>
            <w:shd w:val="clear" w:color="auto" w:fill="D4DDE4"/>
            <w:vAlign w:val="center"/>
          </w:tcPr>
          <w:p w:rsidR="00286C2D" w:rsidRPr="00286C2D" w:rsidRDefault="00286C2D" w:rsidP="00C20371">
            <w:pPr>
              <w:pStyle w:val="Other0"/>
              <w:spacing w:after="0" w:line="240" w:lineRule="auto"/>
              <w:ind w:firstLine="240"/>
              <w:rPr>
                <w:sz w:val="22"/>
                <w:szCs w:val="22"/>
                <w:lang w:val="sq-AL"/>
              </w:rPr>
            </w:pPr>
            <w:r w:rsidRPr="00286C2D">
              <w:rPr>
                <w:sz w:val="22"/>
                <w:szCs w:val="22"/>
                <w:lang w:val="sq-AL"/>
              </w:rPr>
              <w:t>20.02.2024</w:t>
            </w:r>
          </w:p>
        </w:tc>
        <w:tc>
          <w:tcPr>
            <w:tcW w:w="1560" w:type="dxa"/>
            <w:tcBorders>
              <w:top w:val="single" w:sz="4" w:space="0" w:color="auto"/>
              <w:left w:val="single" w:sz="4" w:space="0" w:color="auto"/>
              <w:bottom w:val="single" w:sz="4" w:space="0" w:color="auto"/>
            </w:tcBorders>
            <w:shd w:val="clear" w:color="auto" w:fill="D4DDE4"/>
            <w:vAlign w:val="center"/>
          </w:tcPr>
          <w:p w:rsidR="00286C2D" w:rsidRPr="00286C2D" w:rsidRDefault="00286C2D" w:rsidP="00C20371">
            <w:pPr>
              <w:pStyle w:val="Other0"/>
              <w:spacing w:after="0" w:line="240" w:lineRule="auto"/>
              <w:jc w:val="center"/>
              <w:rPr>
                <w:sz w:val="22"/>
                <w:szCs w:val="22"/>
                <w:lang w:val="sq-AL"/>
              </w:rPr>
            </w:pPr>
            <w:r w:rsidRPr="00286C2D">
              <w:rPr>
                <w:sz w:val="22"/>
                <w:szCs w:val="22"/>
                <w:lang w:val="sq-AL"/>
              </w:rPr>
              <w:t>20.02.2024</w:t>
            </w:r>
          </w:p>
        </w:tc>
        <w:tc>
          <w:tcPr>
            <w:tcW w:w="2558" w:type="dxa"/>
            <w:tcBorders>
              <w:top w:val="single" w:sz="4" w:space="0" w:color="auto"/>
              <w:left w:val="single" w:sz="4" w:space="0" w:color="auto"/>
              <w:bottom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b/>
                <w:bCs/>
                <w:lang w:val="sq-AL"/>
              </w:rPr>
              <w:t>ILJAZ</w:t>
            </w:r>
          </w:p>
        </w:tc>
        <w:tc>
          <w:tcPr>
            <w:tcW w:w="4589" w:type="dxa"/>
            <w:tcBorders>
              <w:top w:val="single" w:sz="4" w:space="0" w:color="auto"/>
              <w:left w:val="single" w:sz="4" w:space="0" w:color="auto"/>
              <w:bottom w:val="single" w:sz="4" w:space="0" w:color="auto"/>
            </w:tcBorders>
            <w:shd w:val="clear" w:color="auto" w:fill="D4DDE4"/>
            <w:vAlign w:val="bottom"/>
          </w:tcPr>
          <w:p w:rsidR="00286C2D" w:rsidRPr="00CE5397" w:rsidRDefault="00286C2D" w:rsidP="00C20371">
            <w:pPr>
              <w:pStyle w:val="Other0"/>
              <w:spacing w:after="0" w:line="240" w:lineRule="auto"/>
              <w:jc w:val="center"/>
              <w:rPr>
                <w:lang w:val="sq-AL"/>
              </w:rPr>
            </w:pPr>
            <w:r w:rsidRPr="00CE5397">
              <w:rPr>
                <w:b/>
                <w:bCs/>
                <w:lang w:val="sq-AL"/>
              </w:rPr>
              <w:t xml:space="preserve">Neni 3 i Konventës </w:t>
            </w:r>
          </w:p>
          <w:p w:rsidR="00286C2D" w:rsidRPr="00CE5397" w:rsidRDefault="00286C2D" w:rsidP="00C20371">
            <w:pPr>
              <w:pStyle w:val="Other0"/>
              <w:spacing w:after="0" w:line="240" w:lineRule="auto"/>
              <w:jc w:val="center"/>
              <w:rPr>
                <w:lang w:val="sq-AL"/>
              </w:rPr>
            </w:pPr>
            <w:r w:rsidRPr="00CE5397">
              <w:rPr>
                <w:rStyle w:val="rynqvb"/>
                <w:rFonts w:eastAsia="Georgia"/>
                <w:lang w:val="sq-AL"/>
              </w:rPr>
              <w:t>Dështimi i autoriteteve për të hetuar në mënyrë efektive sulmin fizik të raportuar dhe</w:t>
            </w:r>
          </w:p>
        </w:tc>
        <w:tc>
          <w:tcPr>
            <w:tcW w:w="1733" w:type="dxa"/>
            <w:tcBorders>
              <w:top w:val="single" w:sz="4" w:space="0" w:color="auto"/>
              <w:left w:val="single" w:sz="4" w:space="0" w:color="auto"/>
              <w:bottom w:val="single" w:sz="4" w:space="0" w:color="auto"/>
              <w:right w:val="single" w:sz="4" w:space="0" w:color="auto"/>
            </w:tcBorders>
            <w:shd w:val="clear" w:color="auto" w:fill="D4DDE4"/>
            <w:vAlign w:val="center"/>
          </w:tcPr>
          <w:p w:rsidR="00286C2D" w:rsidRPr="00CE5397" w:rsidRDefault="00286C2D" w:rsidP="00C20371">
            <w:pPr>
              <w:pStyle w:val="Other0"/>
              <w:spacing w:after="0" w:line="240" w:lineRule="auto"/>
              <w:jc w:val="center"/>
              <w:rPr>
                <w:lang w:val="sq-AL"/>
              </w:rPr>
            </w:pPr>
            <w:r w:rsidRPr="00CE5397">
              <w:rPr>
                <w:lang w:val="sq-AL"/>
              </w:rPr>
              <w:t>Mbikëqyrje standarde</w:t>
            </w:r>
          </w:p>
        </w:tc>
      </w:tr>
    </w:tbl>
    <w:p w:rsidR="00D65C97" w:rsidRDefault="003B25C9">
      <w:pPr>
        <w:spacing w:line="1" w:lineRule="exact"/>
        <w:rPr>
          <w:sz w:val="2"/>
          <w:szCs w:val="2"/>
        </w:rPr>
      </w:pPr>
      <w:r>
        <w:br w:type="page"/>
      </w:r>
    </w:p>
    <w:tbl>
      <w:tblPr>
        <w:tblOverlap w:val="never"/>
        <w:tblW w:w="0" w:type="auto"/>
        <w:jc w:val="center"/>
        <w:tblLayout w:type="fixed"/>
        <w:tblCellMar>
          <w:left w:w="10" w:type="dxa"/>
          <w:right w:w="10" w:type="dxa"/>
        </w:tblCellMar>
        <w:tblLook w:val="0000"/>
      </w:tblPr>
      <w:tblGrid>
        <w:gridCol w:w="701"/>
        <w:gridCol w:w="1709"/>
        <w:gridCol w:w="1464"/>
        <w:gridCol w:w="1560"/>
        <w:gridCol w:w="2558"/>
        <w:gridCol w:w="4589"/>
        <w:gridCol w:w="1733"/>
      </w:tblGrid>
      <w:tr w:rsidR="00D65C97">
        <w:trPr>
          <w:trHeight w:hRule="exact" w:val="811"/>
          <w:jc w:val="center"/>
        </w:trPr>
        <w:tc>
          <w:tcPr>
            <w:tcW w:w="701" w:type="dxa"/>
            <w:tcBorders>
              <w:top w:val="single" w:sz="4" w:space="0" w:color="auto"/>
              <w:left w:val="single" w:sz="4" w:space="0" w:color="auto"/>
            </w:tcBorders>
            <w:shd w:val="clear" w:color="auto" w:fill="D4DDE4"/>
          </w:tcPr>
          <w:p w:rsidR="00D65C97" w:rsidRDefault="00D65C97">
            <w:pPr>
              <w:rPr>
                <w:sz w:val="10"/>
                <w:szCs w:val="10"/>
              </w:rPr>
            </w:pPr>
          </w:p>
        </w:tc>
        <w:tc>
          <w:tcPr>
            <w:tcW w:w="1709" w:type="dxa"/>
            <w:tcBorders>
              <w:top w:val="single" w:sz="4" w:space="0" w:color="auto"/>
              <w:left w:val="single" w:sz="4" w:space="0" w:color="auto"/>
            </w:tcBorders>
            <w:shd w:val="clear" w:color="auto" w:fill="D4DDE4"/>
          </w:tcPr>
          <w:p w:rsidR="00D65C97" w:rsidRDefault="00D65C97">
            <w:pPr>
              <w:rPr>
                <w:sz w:val="10"/>
                <w:szCs w:val="10"/>
              </w:rPr>
            </w:pPr>
          </w:p>
        </w:tc>
        <w:tc>
          <w:tcPr>
            <w:tcW w:w="1464" w:type="dxa"/>
            <w:tcBorders>
              <w:top w:val="single" w:sz="4" w:space="0" w:color="auto"/>
              <w:left w:val="single" w:sz="4" w:space="0" w:color="auto"/>
            </w:tcBorders>
            <w:shd w:val="clear" w:color="auto" w:fill="D4DDE4"/>
          </w:tcPr>
          <w:p w:rsidR="00D65C97" w:rsidRDefault="00D65C97">
            <w:pPr>
              <w:rPr>
                <w:sz w:val="10"/>
                <w:szCs w:val="10"/>
              </w:rPr>
            </w:pPr>
          </w:p>
        </w:tc>
        <w:tc>
          <w:tcPr>
            <w:tcW w:w="1560" w:type="dxa"/>
            <w:tcBorders>
              <w:top w:val="single" w:sz="4" w:space="0" w:color="auto"/>
              <w:left w:val="single" w:sz="4" w:space="0" w:color="auto"/>
            </w:tcBorders>
            <w:shd w:val="clear" w:color="auto" w:fill="D4DDE4"/>
          </w:tcPr>
          <w:p w:rsidR="00D65C97" w:rsidRDefault="00D65C97">
            <w:pPr>
              <w:rPr>
                <w:sz w:val="10"/>
                <w:szCs w:val="10"/>
              </w:rPr>
            </w:pPr>
          </w:p>
        </w:tc>
        <w:tc>
          <w:tcPr>
            <w:tcW w:w="2558" w:type="dxa"/>
            <w:tcBorders>
              <w:top w:val="single" w:sz="4" w:space="0" w:color="auto"/>
              <w:left w:val="single" w:sz="4" w:space="0" w:color="auto"/>
            </w:tcBorders>
            <w:shd w:val="clear" w:color="auto" w:fill="D4DDE4"/>
          </w:tcPr>
          <w:p w:rsidR="00D65C97" w:rsidRDefault="00D65C97">
            <w:pPr>
              <w:rPr>
                <w:sz w:val="10"/>
                <w:szCs w:val="10"/>
              </w:rPr>
            </w:pPr>
          </w:p>
        </w:tc>
        <w:tc>
          <w:tcPr>
            <w:tcW w:w="4589" w:type="dxa"/>
            <w:tcBorders>
              <w:top w:val="single" w:sz="4" w:space="0" w:color="auto"/>
              <w:left w:val="single" w:sz="4" w:space="0" w:color="auto"/>
            </w:tcBorders>
            <w:shd w:val="clear" w:color="auto" w:fill="D4DDE4"/>
          </w:tcPr>
          <w:p w:rsidR="00D65C97" w:rsidRDefault="003B25C9">
            <w:pPr>
              <w:pStyle w:val="Other0"/>
              <w:spacing w:after="0" w:line="240" w:lineRule="auto"/>
              <w:jc w:val="center"/>
              <w:rPr>
                <w:sz w:val="22"/>
                <w:szCs w:val="22"/>
              </w:rPr>
            </w:pPr>
            <w:r>
              <w:rPr>
                <w:sz w:val="22"/>
                <w:szCs w:val="22"/>
              </w:rPr>
              <w:t>заканите упатени кон апликантот од физичко лице</w:t>
            </w:r>
          </w:p>
        </w:tc>
        <w:tc>
          <w:tcPr>
            <w:tcW w:w="1733" w:type="dxa"/>
            <w:tcBorders>
              <w:top w:val="single" w:sz="4" w:space="0" w:color="auto"/>
              <w:left w:val="single" w:sz="4" w:space="0" w:color="auto"/>
              <w:right w:val="single" w:sz="4" w:space="0" w:color="auto"/>
            </w:tcBorders>
            <w:shd w:val="clear" w:color="auto" w:fill="D4DDE4"/>
          </w:tcPr>
          <w:p w:rsidR="00D65C97" w:rsidRDefault="00D65C97">
            <w:pPr>
              <w:rPr>
                <w:sz w:val="10"/>
                <w:szCs w:val="10"/>
              </w:rPr>
            </w:pPr>
          </w:p>
        </w:tc>
      </w:tr>
      <w:tr w:rsidR="000668C5">
        <w:trPr>
          <w:trHeight w:hRule="exact" w:val="1536"/>
          <w:jc w:val="center"/>
        </w:trPr>
        <w:tc>
          <w:tcPr>
            <w:tcW w:w="701" w:type="dxa"/>
            <w:tcBorders>
              <w:top w:val="single" w:sz="4" w:space="0" w:color="auto"/>
              <w:left w:val="single" w:sz="4" w:space="0" w:color="auto"/>
            </w:tcBorders>
            <w:shd w:val="clear" w:color="auto" w:fill="D4DDE4"/>
            <w:vAlign w:val="center"/>
          </w:tcPr>
          <w:p w:rsidR="000668C5" w:rsidRDefault="000668C5">
            <w:pPr>
              <w:pStyle w:val="Other0"/>
              <w:spacing w:after="0" w:line="240" w:lineRule="auto"/>
              <w:jc w:val="center"/>
              <w:rPr>
                <w:sz w:val="22"/>
                <w:szCs w:val="22"/>
              </w:rPr>
            </w:pPr>
            <w:r>
              <w:rPr>
                <w:sz w:val="22"/>
                <w:szCs w:val="22"/>
              </w:rPr>
              <w:t>16.</w:t>
            </w:r>
          </w:p>
        </w:tc>
        <w:tc>
          <w:tcPr>
            <w:tcW w:w="1709"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А. nr. 20949/21</w:t>
            </w:r>
          </w:p>
        </w:tc>
        <w:tc>
          <w:tcPr>
            <w:tcW w:w="1464"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ind w:firstLine="240"/>
              <w:rPr>
                <w:sz w:val="22"/>
                <w:szCs w:val="22"/>
                <w:lang w:val="sq-AL"/>
              </w:rPr>
            </w:pPr>
            <w:r w:rsidRPr="000668C5">
              <w:rPr>
                <w:sz w:val="22"/>
                <w:szCs w:val="22"/>
                <w:lang w:val="sq-AL"/>
              </w:rPr>
              <w:t>14.05.2024</w:t>
            </w:r>
          </w:p>
        </w:tc>
        <w:tc>
          <w:tcPr>
            <w:tcW w:w="1560"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14.08.2024</w:t>
            </w:r>
          </w:p>
        </w:tc>
        <w:tc>
          <w:tcPr>
            <w:tcW w:w="2558" w:type="dxa"/>
            <w:tcBorders>
              <w:top w:val="single" w:sz="4" w:space="0" w:color="auto"/>
              <w:left w:val="single" w:sz="4" w:space="0" w:color="auto"/>
            </w:tcBorders>
            <w:shd w:val="clear" w:color="auto" w:fill="D4DDE4"/>
            <w:vAlign w:val="center"/>
          </w:tcPr>
          <w:p w:rsidR="000668C5" w:rsidRPr="00CE5397" w:rsidRDefault="000668C5" w:rsidP="00C20371">
            <w:pPr>
              <w:pStyle w:val="Other0"/>
              <w:spacing w:after="0" w:line="240" w:lineRule="auto"/>
              <w:jc w:val="center"/>
              <w:rPr>
                <w:b/>
                <w:lang w:val="sq-AL"/>
              </w:rPr>
            </w:pPr>
            <w:r w:rsidRPr="00CE5397">
              <w:rPr>
                <w:rStyle w:val="rynqvb"/>
                <w:rFonts w:eastAsia="Georgia"/>
                <w:b/>
                <w:lang w:val="sq-AL"/>
              </w:rPr>
              <w:t>MITREVSKA</w:t>
            </w:r>
          </w:p>
        </w:tc>
        <w:tc>
          <w:tcPr>
            <w:tcW w:w="4589" w:type="dxa"/>
            <w:tcBorders>
              <w:top w:val="single" w:sz="4" w:space="0" w:color="auto"/>
              <w:left w:val="single" w:sz="4" w:space="0" w:color="auto"/>
            </w:tcBorders>
            <w:shd w:val="clear" w:color="auto" w:fill="D4DDE4"/>
            <w:vAlign w:val="bottom"/>
          </w:tcPr>
          <w:p w:rsidR="000668C5" w:rsidRPr="00CE5397" w:rsidRDefault="000668C5" w:rsidP="00C20371">
            <w:pPr>
              <w:pStyle w:val="Other0"/>
              <w:spacing w:after="0" w:line="240" w:lineRule="auto"/>
              <w:jc w:val="center"/>
              <w:rPr>
                <w:lang w:val="sq-AL"/>
              </w:rPr>
            </w:pPr>
            <w:r w:rsidRPr="00CE5397">
              <w:rPr>
                <w:b/>
                <w:bCs/>
                <w:lang w:val="sq-AL"/>
              </w:rPr>
              <w:t xml:space="preserve">Neni 8 i Konventës </w:t>
            </w:r>
          </w:p>
          <w:p w:rsidR="000668C5" w:rsidRPr="00CE5397" w:rsidRDefault="000668C5" w:rsidP="00C20371">
            <w:pPr>
              <w:pStyle w:val="Other0"/>
              <w:spacing w:after="0" w:line="240" w:lineRule="auto"/>
              <w:jc w:val="center"/>
              <w:rPr>
                <w:lang w:val="sq-AL"/>
              </w:rPr>
            </w:pPr>
            <w:r w:rsidRPr="00CE5397">
              <w:rPr>
                <w:rStyle w:val="rynqvb"/>
                <w:rFonts w:eastAsia="Georgia"/>
                <w:lang w:val="sq-AL"/>
              </w:rPr>
              <w:t>Pamundësia e aplikantes, e cila u birësua si fëmijë, për të marrë informacion në lidhje me origjinën e saj biologjike dhe historinë mjekësore të prindërve të saj biologjikë në procedurat e brendshme</w:t>
            </w:r>
          </w:p>
        </w:tc>
        <w:tc>
          <w:tcPr>
            <w:tcW w:w="1733" w:type="dxa"/>
            <w:tcBorders>
              <w:top w:val="single" w:sz="4" w:space="0" w:color="auto"/>
              <w:left w:val="single" w:sz="4" w:space="0" w:color="auto"/>
              <w:right w:val="single" w:sz="4" w:space="0" w:color="auto"/>
            </w:tcBorders>
            <w:shd w:val="clear" w:color="auto" w:fill="D4DDE4"/>
            <w:vAlign w:val="center"/>
          </w:tcPr>
          <w:p w:rsidR="000668C5" w:rsidRPr="00CE5397" w:rsidRDefault="000668C5" w:rsidP="00C20371">
            <w:pPr>
              <w:pStyle w:val="Other0"/>
              <w:spacing w:after="0" w:line="240" w:lineRule="auto"/>
              <w:jc w:val="center"/>
              <w:rPr>
                <w:lang w:val="sq-AL"/>
              </w:rPr>
            </w:pPr>
            <w:r w:rsidRPr="00CE5397">
              <w:rPr>
                <w:lang w:val="sq-AL"/>
              </w:rPr>
              <w:t>Mbikëqyrje standarde</w:t>
            </w:r>
          </w:p>
        </w:tc>
      </w:tr>
      <w:tr w:rsidR="000668C5">
        <w:trPr>
          <w:trHeight w:hRule="exact" w:val="2554"/>
          <w:jc w:val="center"/>
        </w:trPr>
        <w:tc>
          <w:tcPr>
            <w:tcW w:w="701" w:type="dxa"/>
            <w:tcBorders>
              <w:top w:val="single" w:sz="4" w:space="0" w:color="auto"/>
              <w:left w:val="single" w:sz="4" w:space="0" w:color="auto"/>
            </w:tcBorders>
            <w:shd w:val="clear" w:color="auto" w:fill="D4DDE4"/>
            <w:vAlign w:val="center"/>
          </w:tcPr>
          <w:p w:rsidR="000668C5" w:rsidRDefault="000668C5">
            <w:pPr>
              <w:pStyle w:val="Other0"/>
              <w:spacing w:after="0" w:line="240" w:lineRule="auto"/>
              <w:jc w:val="center"/>
              <w:rPr>
                <w:sz w:val="22"/>
                <w:szCs w:val="22"/>
              </w:rPr>
            </w:pPr>
            <w:r>
              <w:rPr>
                <w:sz w:val="22"/>
                <w:szCs w:val="22"/>
              </w:rPr>
              <w:t>17.</w:t>
            </w:r>
          </w:p>
        </w:tc>
        <w:tc>
          <w:tcPr>
            <w:tcW w:w="1709"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А. nr. 23215/21</w:t>
            </w:r>
          </w:p>
        </w:tc>
        <w:tc>
          <w:tcPr>
            <w:tcW w:w="1464"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ind w:firstLine="240"/>
              <w:rPr>
                <w:sz w:val="22"/>
                <w:szCs w:val="22"/>
                <w:lang w:val="sq-AL"/>
              </w:rPr>
            </w:pPr>
            <w:r w:rsidRPr="000668C5">
              <w:rPr>
                <w:sz w:val="22"/>
                <w:szCs w:val="22"/>
                <w:lang w:val="sq-AL"/>
              </w:rPr>
              <w:t>25.06.2024</w:t>
            </w:r>
          </w:p>
        </w:tc>
        <w:tc>
          <w:tcPr>
            <w:tcW w:w="1560"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25.09.2024</w:t>
            </w:r>
          </w:p>
        </w:tc>
        <w:tc>
          <w:tcPr>
            <w:tcW w:w="2558" w:type="dxa"/>
            <w:tcBorders>
              <w:top w:val="single" w:sz="4" w:space="0" w:color="auto"/>
              <w:left w:val="single" w:sz="4" w:space="0" w:color="auto"/>
            </w:tcBorders>
            <w:shd w:val="clear" w:color="auto" w:fill="D4DDE4"/>
            <w:vAlign w:val="center"/>
          </w:tcPr>
          <w:p w:rsidR="000668C5" w:rsidRPr="00CE5397" w:rsidRDefault="000668C5" w:rsidP="00C20371">
            <w:pPr>
              <w:pStyle w:val="Other0"/>
              <w:spacing w:after="0" w:line="240" w:lineRule="auto"/>
              <w:jc w:val="center"/>
              <w:rPr>
                <w:b/>
                <w:lang w:val="sq-AL"/>
              </w:rPr>
            </w:pPr>
            <w:r w:rsidRPr="00CE5397">
              <w:rPr>
                <w:rStyle w:val="rynqvb"/>
                <w:rFonts w:eastAsia="Georgia"/>
                <w:b/>
                <w:lang w:val="sq-AL"/>
              </w:rPr>
              <w:t>VLAISAVLJEVIQ</w:t>
            </w:r>
          </w:p>
        </w:tc>
        <w:tc>
          <w:tcPr>
            <w:tcW w:w="4589" w:type="dxa"/>
            <w:tcBorders>
              <w:top w:val="single" w:sz="4" w:space="0" w:color="auto"/>
              <w:left w:val="single" w:sz="4" w:space="0" w:color="auto"/>
            </w:tcBorders>
            <w:shd w:val="clear" w:color="auto" w:fill="D4DDE4"/>
            <w:vAlign w:val="bottom"/>
          </w:tcPr>
          <w:p w:rsidR="000668C5" w:rsidRPr="00CE5397" w:rsidRDefault="000668C5" w:rsidP="00C20371">
            <w:pPr>
              <w:pStyle w:val="Other0"/>
              <w:spacing w:after="0" w:line="240" w:lineRule="auto"/>
              <w:jc w:val="center"/>
              <w:rPr>
                <w:lang w:val="sq-AL"/>
              </w:rPr>
            </w:pPr>
            <w:r w:rsidRPr="00CE5397">
              <w:rPr>
                <w:b/>
                <w:bCs/>
                <w:lang w:val="sq-AL"/>
              </w:rPr>
              <w:t xml:space="preserve">Neni 8 i Konventës </w:t>
            </w:r>
          </w:p>
          <w:p w:rsidR="000668C5" w:rsidRPr="00CE5397" w:rsidRDefault="000668C5" w:rsidP="00C20371">
            <w:pPr>
              <w:pStyle w:val="Other0"/>
              <w:spacing w:after="0" w:line="240" w:lineRule="auto"/>
              <w:jc w:val="center"/>
              <w:rPr>
                <w:lang w:val="sq-AL"/>
              </w:rPr>
            </w:pPr>
            <w:r w:rsidRPr="00CE5397">
              <w:rPr>
                <w:rStyle w:val="rynqvb"/>
                <w:rFonts w:eastAsia="Georgia"/>
                <w:lang w:val="sq-AL"/>
              </w:rPr>
              <w:t>Dështimi i gjykatave vendase për të siguruar mbrojtje efektive të së drejtës së aplikantit për respektimin e jetës së tij private në lidhje me ruajtjen dhe përdorimin e të dhënave të tij personale nga një furnizues privat i energjisë ngrohëse, i cili i dërgonte në mënyrë të përsëritur fatura për një tarifë fikse ngrohjeje, pavarësisht kundërshtimeve të tij se ai nuk ishte përdorues i shërbimeve të furnizuesit</w:t>
            </w:r>
          </w:p>
        </w:tc>
        <w:tc>
          <w:tcPr>
            <w:tcW w:w="1733" w:type="dxa"/>
            <w:tcBorders>
              <w:top w:val="single" w:sz="4" w:space="0" w:color="auto"/>
              <w:left w:val="single" w:sz="4" w:space="0" w:color="auto"/>
              <w:right w:val="single" w:sz="4" w:space="0" w:color="auto"/>
            </w:tcBorders>
            <w:shd w:val="clear" w:color="auto" w:fill="D4DDE4"/>
            <w:vAlign w:val="center"/>
          </w:tcPr>
          <w:p w:rsidR="000668C5" w:rsidRPr="00CE5397" w:rsidRDefault="000668C5" w:rsidP="00C20371">
            <w:pPr>
              <w:pStyle w:val="Other0"/>
              <w:spacing w:after="0" w:line="240" w:lineRule="auto"/>
              <w:jc w:val="center"/>
              <w:rPr>
                <w:lang w:val="sq-AL"/>
              </w:rPr>
            </w:pPr>
            <w:r w:rsidRPr="00CE5397">
              <w:rPr>
                <w:lang w:val="sq-AL"/>
              </w:rPr>
              <w:t>Mbikëqyrje standarde</w:t>
            </w:r>
          </w:p>
        </w:tc>
      </w:tr>
      <w:tr w:rsidR="000668C5">
        <w:trPr>
          <w:trHeight w:hRule="exact" w:val="2040"/>
          <w:jc w:val="center"/>
        </w:trPr>
        <w:tc>
          <w:tcPr>
            <w:tcW w:w="701" w:type="dxa"/>
            <w:tcBorders>
              <w:top w:val="single" w:sz="4" w:space="0" w:color="auto"/>
              <w:left w:val="single" w:sz="4" w:space="0" w:color="auto"/>
            </w:tcBorders>
            <w:shd w:val="clear" w:color="auto" w:fill="D4DDE4"/>
            <w:vAlign w:val="center"/>
          </w:tcPr>
          <w:p w:rsidR="000668C5" w:rsidRDefault="000668C5">
            <w:pPr>
              <w:pStyle w:val="Other0"/>
              <w:spacing w:after="0" w:line="240" w:lineRule="auto"/>
              <w:jc w:val="center"/>
              <w:rPr>
                <w:sz w:val="22"/>
                <w:szCs w:val="22"/>
              </w:rPr>
            </w:pPr>
            <w:r>
              <w:rPr>
                <w:sz w:val="22"/>
                <w:szCs w:val="22"/>
              </w:rPr>
              <w:t>18.</w:t>
            </w:r>
          </w:p>
        </w:tc>
        <w:tc>
          <w:tcPr>
            <w:tcW w:w="1709"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А. nr.</w:t>
            </w:r>
            <w:r w:rsidR="00C1447F">
              <w:rPr>
                <w:sz w:val="22"/>
                <w:szCs w:val="22"/>
                <w:lang w:val="sq-AL"/>
              </w:rPr>
              <w:t xml:space="preserve"> </w:t>
            </w:r>
            <w:r w:rsidRPr="000668C5">
              <w:rPr>
                <w:sz w:val="22"/>
                <w:szCs w:val="22"/>
                <w:lang w:val="sq-AL"/>
              </w:rPr>
              <w:t>42520/17</w:t>
            </w:r>
          </w:p>
        </w:tc>
        <w:tc>
          <w:tcPr>
            <w:tcW w:w="1464"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ind w:firstLine="240"/>
              <w:rPr>
                <w:sz w:val="22"/>
                <w:szCs w:val="22"/>
                <w:lang w:val="sq-AL"/>
              </w:rPr>
            </w:pPr>
            <w:r w:rsidRPr="000668C5">
              <w:rPr>
                <w:sz w:val="22"/>
                <w:szCs w:val="22"/>
                <w:lang w:val="sq-AL"/>
              </w:rPr>
              <w:t>22.10.2024</w:t>
            </w:r>
          </w:p>
        </w:tc>
        <w:tc>
          <w:tcPr>
            <w:tcW w:w="1560"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22.10.2024</w:t>
            </w:r>
          </w:p>
        </w:tc>
        <w:tc>
          <w:tcPr>
            <w:tcW w:w="2558" w:type="dxa"/>
            <w:tcBorders>
              <w:top w:val="single" w:sz="4" w:space="0" w:color="auto"/>
              <w:left w:val="single" w:sz="4" w:space="0" w:color="auto"/>
            </w:tcBorders>
            <w:shd w:val="clear" w:color="auto" w:fill="D4DDE4"/>
            <w:vAlign w:val="center"/>
          </w:tcPr>
          <w:p w:rsidR="000668C5" w:rsidRPr="00CE5397" w:rsidRDefault="000668C5" w:rsidP="00C20371">
            <w:pPr>
              <w:pStyle w:val="Other0"/>
              <w:spacing w:after="0" w:line="240" w:lineRule="auto"/>
              <w:jc w:val="center"/>
              <w:rPr>
                <w:b/>
                <w:lang w:val="sq-AL"/>
              </w:rPr>
            </w:pPr>
            <w:r w:rsidRPr="00CE5397">
              <w:rPr>
                <w:rStyle w:val="rynqvb"/>
                <w:rFonts w:eastAsia="Georgia"/>
                <w:b/>
                <w:lang w:val="sq-AL"/>
              </w:rPr>
              <w:t>SHAPKAROSKI DHE KANEVÇE</w:t>
            </w:r>
          </w:p>
        </w:tc>
        <w:tc>
          <w:tcPr>
            <w:tcW w:w="4589" w:type="dxa"/>
            <w:tcBorders>
              <w:top w:val="single" w:sz="4" w:space="0" w:color="auto"/>
              <w:left w:val="single" w:sz="4" w:space="0" w:color="auto"/>
            </w:tcBorders>
            <w:shd w:val="clear" w:color="auto" w:fill="D4DDE4"/>
            <w:vAlign w:val="bottom"/>
          </w:tcPr>
          <w:p w:rsidR="000668C5" w:rsidRPr="00CE5397" w:rsidRDefault="000668C5" w:rsidP="00C20371">
            <w:pPr>
              <w:pStyle w:val="Other0"/>
              <w:spacing w:after="0" w:line="240" w:lineRule="auto"/>
              <w:jc w:val="center"/>
              <w:rPr>
                <w:lang w:val="sq-AL"/>
              </w:rPr>
            </w:pPr>
            <w:r w:rsidRPr="00CE5397">
              <w:rPr>
                <w:b/>
                <w:bCs/>
                <w:lang w:val="sq-AL"/>
              </w:rPr>
              <w:t xml:space="preserve">Neni 6 i Konventës </w:t>
            </w:r>
          </w:p>
          <w:p w:rsidR="000668C5" w:rsidRPr="00CE5397" w:rsidRDefault="000668C5" w:rsidP="00C20371">
            <w:pPr>
              <w:pStyle w:val="Other0"/>
              <w:spacing w:after="0" w:line="240" w:lineRule="auto"/>
              <w:jc w:val="center"/>
              <w:rPr>
                <w:lang w:val="sq-AL"/>
              </w:rPr>
            </w:pPr>
            <w:r w:rsidRPr="00CE5397">
              <w:rPr>
                <w:rStyle w:val="rynqvb"/>
                <w:rFonts w:eastAsia="Georgia"/>
                <w:lang w:val="sq-AL"/>
              </w:rPr>
              <w:t>Procedura civile në të cilat gjykata e shkallës së parë bëri gabim të dukshëm kur i urdhëroi aplikantit të paguanin ose transferonin tek paditësit pjesë të pronës që tejkalonin vlerën totale të asaj prone të fituar më parë nga aplikantit në procedurën e denacionalizimit</w:t>
            </w:r>
          </w:p>
        </w:tc>
        <w:tc>
          <w:tcPr>
            <w:tcW w:w="1733" w:type="dxa"/>
            <w:tcBorders>
              <w:top w:val="single" w:sz="4" w:space="0" w:color="auto"/>
              <w:left w:val="single" w:sz="4" w:space="0" w:color="auto"/>
              <w:right w:val="single" w:sz="4" w:space="0" w:color="auto"/>
            </w:tcBorders>
            <w:shd w:val="clear" w:color="auto" w:fill="D4DDE4"/>
            <w:vAlign w:val="center"/>
          </w:tcPr>
          <w:p w:rsidR="000668C5" w:rsidRPr="00CE5397" w:rsidRDefault="000668C5" w:rsidP="00C20371">
            <w:pPr>
              <w:pStyle w:val="Other0"/>
              <w:spacing w:after="0" w:line="240" w:lineRule="auto"/>
              <w:jc w:val="center"/>
              <w:rPr>
                <w:lang w:val="sq-AL"/>
              </w:rPr>
            </w:pPr>
            <w:r w:rsidRPr="00CE5397">
              <w:rPr>
                <w:lang w:val="sq-AL"/>
              </w:rPr>
              <w:t>Mbikëqyrje standarde</w:t>
            </w:r>
          </w:p>
        </w:tc>
      </w:tr>
      <w:tr w:rsidR="000668C5">
        <w:trPr>
          <w:trHeight w:hRule="exact" w:val="1790"/>
          <w:jc w:val="center"/>
        </w:trPr>
        <w:tc>
          <w:tcPr>
            <w:tcW w:w="701" w:type="dxa"/>
            <w:tcBorders>
              <w:top w:val="single" w:sz="4" w:space="0" w:color="auto"/>
              <w:left w:val="single" w:sz="4" w:space="0" w:color="auto"/>
            </w:tcBorders>
            <w:shd w:val="clear" w:color="auto" w:fill="D4DDE4"/>
            <w:vAlign w:val="center"/>
          </w:tcPr>
          <w:p w:rsidR="000668C5" w:rsidRDefault="000668C5">
            <w:pPr>
              <w:pStyle w:val="Other0"/>
              <w:spacing w:after="0" w:line="240" w:lineRule="auto"/>
              <w:jc w:val="center"/>
              <w:rPr>
                <w:sz w:val="22"/>
                <w:szCs w:val="22"/>
              </w:rPr>
            </w:pPr>
            <w:r>
              <w:rPr>
                <w:sz w:val="22"/>
                <w:szCs w:val="22"/>
              </w:rPr>
              <w:t>19.</w:t>
            </w:r>
          </w:p>
        </w:tc>
        <w:tc>
          <w:tcPr>
            <w:tcW w:w="1709"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А. nr. 26760/22</w:t>
            </w:r>
          </w:p>
        </w:tc>
        <w:tc>
          <w:tcPr>
            <w:tcW w:w="1464"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ind w:firstLine="240"/>
              <w:rPr>
                <w:sz w:val="22"/>
                <w:szCs w:val="22"/>
                <w:lang w:val="sq-AL"/>
              </w:rPr>
            </w:pPr>
            <w:r w:rsidRPr="000668C5">
              <w:rPr>
                <w:sz w:val="22"/>
                <w:szCs w:val="22"/>
                <w:lang w:val="sq-AL"/>
              </w:rPr>
              <w:t>05.11.2024</w:t>
            </w:r>
          </w:p>
        </w:tc>
        <w:tc>
          <w:tcPr>
            <w:tcW w:w="1560" w:type="dxa"/>
            <w:tcBorders>
              <w:top w:val="single" w:sz="4" w:space="0" w:color="auto"/>
              <w:left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05.02.2024</w:t>
            </w:r>
          </w:p>
        </w:tc>
        <w:tc>
          <w:tcPr>
            <w:tcW w:w="2558" w:type="dxa"/>
            <w:tcBorders>
              <w:top w:val="single" w:sz="4" w:space="0" w:color="auto"/>
              <w:left w:val="single" w:sz="4" w:space="0" w:color="auto"/>
            </w:tcBorders>
            <w:shd w:val="clear" w:color="auto" w:fill="D4DDE4"/>
            <w:vAlign w:val="center"/>
          </w:tcPr>
          <w:p w:rsidR="000668C5" w:rsidRPr="00CE5397" w:rsidRDefault="000668C5" w:rsidP="00C20371">
            <w:pPr>
              <w:pStyle w:val="Other0"/>
              <w:spacing w:after="0" w:line="240" w:lineRule="auto"/>
              <w:jc w:val="center"/>
              <w:rPr>
                <w:lang w:val="sq-AL"/>
              </w:rPr>
            </w:pPr>
            <w:r w:rsidRPr="00CE5397">
              <w:rPr>
                <w:b/>
                <w:bCs/>
                <w:lang w:val="sq-AL"/>
              </w:rPr>
              <w:t>ZAHARIEV</w:t>
            </w:r>
          </w:p>
        </w:tc>
        <w:tc>
          <w:tcPr>
            <w:tcW w:w="4589" w:type="dxa"/>
            <w:tcBorders>
              <w:top w:val="single" w:sz="4" w:space="0" w:color="auto"/>
              <w:left w:val="single" w:sz="4" w:space="0" w:color="auto"/>
            </w:tcBorders>
            <w:shd w:val="clear" w:color="auto" w:fill="D4DDE4"/>
            <w:vAlign w:val="bottom"/>
          </w:tcPr>
          <w:p w:rsidR="000668C5" w:rsidRPr="00CE5397" w:rsidRDefault="000668C5" w:rsidP="00C20371">
            <w:pPr>
              <w:pStyle w:val="Other0"/>
              <w:spacing w:after="0" w:line="240" w:lineRule="auto"/>
              <w:jc w:val="center"/>
              <w:rPr>
                <w:lang w:val="sq-AL"/>
              </w:rPr>
            </w:pPr>
            <w:r w:rsidRPr="00CE5397">
              <w:rPr>
                <w:b/>
                <w:bCs/>
                <w:lang w:val="sq-AL"/>
              </w:rPr>
              <w:t xml:space="preserve">Neni 6 i Konventës </w:t>
            </w:r>
          </w:p>
          <w:p w:rsidR="000668C5" w:rsidRPr="00CE5397" w:rsidRDefault="000668C5" w:rsidP="00C20371">
            <w:pPr>
              <w:pStyle w:val="Other0"/>
              <w:spacing w:after="0" w:line="240" w:lineRule="auto"/>
              <w:jc w:val="center"/>
              <w:rPr>
                <w:lang w:val="sq-AL"/>
              </w:rPr>
            </w:pPr>
            <w:r w:rsidRPr="00CE5397">
              <w:rPr>
                <w:rStyle w:val="rynqvb"/>
                <w:rFonts w:eastAsia="Georgia"/>
                <w:lang w:val="sq-AL"/>
              </w:rPr>
              <w:t>Arsyetim joadekuat në vendimet e gjykatave vendase që hedhin poshtë argumentin e aplikantit se ai gëzonte imunitet diplomatik sipas Konventës së Vjenës mbi Marrëdhëniet Diplomatike të vitit 1961</w:t>
            </w:r>
          </w:p>
        </w:tc>
        <w:tc>
          <w:tcPr>
            <w:tcW w:w="1733" w:type="dxa"/>
            <w:tcBorders>
              <w:top w:val="single" w:sz="4" w:space="0" w:color="auto"/>
              <w:left w:val="single" w:sz="4" w:space="0" w:color="auto"/>
              <w:right w:val="single" w:sz="4" w:space="0" w:color="auto"/>
            </w:tcBorders>
            <w:shd w:val="clear" w:color="auto" w:fill="D4DDE4"/>
            <w:vAlign w:val="center"/>
          </w:tcPr>
          <w:p w:rsidR="000668C5" w:rsidRPr="00CE5397" w:rsidRDefault="000668C5" w:rsidP="00C20371">
            <w:pPr>
              <w:pStyle w:val="Other0"/>
              <w:spacing w:after="0" w:line="240" w:lineRule="auto"/>
              <w:jc w:val="center"/>
              <w:rPr>
                <w:lang w:val="sq-AL"/>
              </w:rPr>
            </w:pPr>
            <w:r w:rsidRPr="00CE5397">
              <w:rPr>
                <w:lang w:val="sq-AL"/>
              </w:rPr>
              <w:t>Mbikëqyrje standarde</w:t>
            </w:r>
          </w:p>
        </w:tc>
      </w:tr>
      <w:tr w:rsidR="000668C5">
        <w:trPr>
          <w:trHeight w:hRule="exact" w:val="821"/>
          <w:jc w:val="center"/>
        </w:trPr>
        <w:tc>
          <w:tcPr>
            <w:tcW w:w="701" w:type="dxa"/>
            <w:tcBorders>
              <w:top w:val="single" w:sz="4" w:space="0" w:color="auto"/>
              <w:left w:val="single" w:sz="4" w:space="0" w:color="auto"/>
              <w:bottom w:val="single" w:sz="4" w:space="0" w:color="auto"/>
            </w:tcBorders>
            <w:shd w:val="clear" w:color="auto" w:fill="D4DDE4"/>
            <w:vAlign w:val="center"/>
          </w:tcPr>
          <w:p w:rsidR="000668C5" w:rsidRDefault="000668C5">
            <w:pPr>
              <w:pStyle w:val="Other0"/>
              <w:spacing w:after="0" w:line="240" w:lineRule="auto"/>
              <w:jc w:val="center"/>
              <w:rPr>
                <w:sz w:val="22"/>
                <w:szCs w:val="22"/>
              </w:rPr>
            </w:pPr>
            <w:r>
              <w:rPr>
                <w:sz w:val="22"/>
                <w:szCs w:val="22"/>
              </w:rPr>
              <w:t>20.</w:t>
            </w:r>
          </w:p>
        </w:tc>
        <w:tc>
          <w:tcPr>
            <w:tcW w:w="1709" w:type="dxa"/>
            <w:tcBorders>
              <w:top w:val="single" w:sz="4" w:space="0" w:color="auto"/>
              <w:left w:val="single" w:sz="4" w:space="0" w:color="auto"/>
              <w:bottom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А. nr. 6035/17</w:t>
            </w:r>
          </w:p>
        </w:tc>
        <w:tc>
          <w:tcPr>
            <w:tcW w:w="1464" w:type="dxa"/>
            <w:tcBorders>
              <w:top w:val="single" w:sz="4" w:space="0" w:color="auto"/>
              <w:left w:val="single" w:sz="4" w:space="0" w:color="auto"/>
              <w:bottom w:val="single" w:sz="4" w:space="0" w:color="auto"/>
            </w:tcBorders>
            <w:shd w:val="clear" w:color="auto" w:fill="D4DDE4"/>
            <w:vAlign w:val="center"/>
          </w:tcPr>
          <w:p w:rsidR="000668C5" w:rsidRPr="000668C5" w:rsidRDefault="000668C5" w:rsidP="00C20371">
            <w:pPr>
              <w:pStyle w:val="Other0"/>
              <w:spacing w:after="0" w:line="240" w:lineRule="auto"/>
              <w:ind w:firstLine="240"/>
              <w:rPr>
                <w:sz w:val="22"/>
                <w:szCs w:val="22"/>
                <w:lang w:val="sq-AL"/>
              </w:rPr>
            </w:pPr>
            <w:r w:rsidRPr="000668C5">
              <w:rPr>
                <w:sz w:val="22"/>
                <w:szCs w:val="22"/>
                <w:lang w:val="sq-AL"/>
              </w:rPr>
              <w:t>26.11.2024</w:t>
            </w:r>
          </w:p>
        </w:tc>
        <w:tc>
          <w:tcPr>
            <w:tcW w:w="1560" w:type="dxa"/>
            <w:tcBorders>
              <w:top w:val="single" w:sz="4" w:space="0" w:color="auto"/>
              <w:left w:val="single" w:sz="4" w:space="0" w:color="auto"/>
              <w:bottom w:val="single" w:sz="4" w:space="0" w:color="auto"/>
            </w:tcBorders>
            <w:shd w:val="clear" w:color="auto" w:fill="D4DDE4"/>
            <w:vAlign w:val="center"/>
          </w:tcPr>
          <w:p w:rsidR="000668C5" w:rsidRPr="000668C5" w:rsidRDefault="000668C5" w:rsidP="00C20371">
            <w:pPr>
              <w:pStyle w:val="Other0"/>
              <w:spacing w:after="0" w:line="240" w:lineRule="auto"/>
              <w:jc w:val="center"/>
              <w:rPr>
                <w:sz w:val="22"/>
                <w:szCs w:val="22"/>
                <w:lang w:val="sq-AL"/>
              </w:rPr>
            </w:pPr>
            <w:r w:rsidRPr="000668C5">
              <w:rPr>
                <w:sz w:val="22"/>
                <w:szCs w:val="22"/>
                <w:lang w:val="sq-AL"/>
              </w:rPr>
              <w:t>26.02.2025</w:t>
            </w:r>
          </w:p>
        </w:tc>
        <w:tc>
          <w:tcPr>
            <w:tcW w:w="2558" w:type="dxa"/>
            <w:tcBorders>
              <w:top w:val="single" w:sz="4" w:space="0" w:color="auto"/>
              <w:left w:val="single" w:sz="4" w:space="0" w:color="auto"/>
              <w:bottom w:val="single" w:sz="4" w:space="0" w:color="auto"/>
            </w:tcBorders>
            <w:shd w:val="clear" w:color="auto" w:fill="D4DDE4"/>
            <w:vAlign w:val="center"/>
          </w:tcPr>
          <w:p w:rsidR="000668C5" w:rsidRPr="00CE5397" w:rsidRDefault="000668C5" w:rsidP="00C20371">
            <w:pPr>
              <w:pStyle w:val="Other0"/>
              <w:spacing w:after="0" w:line="240" w:lineRule="auto"/>
              <w:jc w:val="center"/>
              <w:rPr>
                <w:b/>
                <w:lang w:val="sq-AL"/>
              </w:rPr>
            </w:pPr>
            <w:r w:rsidRPr="00CE5397">
              <w:rPr>
                <w:rStyle w:val="rynqvb"/>
                <w:rFonts w:eastAsia="Georgia"/>
                <w:b/>
                <w:lang w:val="sq-AL"/>
              </w:rPr>
              <w:t>NDI SOPOT S.A.</w:t>
            </w:r>
          </w:p>
        </w:tc>
        <w:tc>
          <w:tcPr>
            <w:tcW w:w="4589" w:type="dxa"/>
            <w:tcBorders>
              <w:top w:val="single" w:sz="4" w:space="0" w:color="auto"/>
              <w:left w:val="single" w:sz="4" w:space="0" w:color="auto"/>
              <w:bottom w:val="single" w:sz="4" w:space="0" w:color="auto"/>
            </w:tcBorders>
            <w:shd w:val="clear" w:color="auto" w:fill="D4DDE4"/>
            <w:vAlign w:val="bottom"/>
          </w:tcPr>
          <w:p w:rsidR="000668C5" w:rsidRPr="00CE5397" w:rsidRDefault="000668C5" w:rsidP="00C20371">
            <w:pPr>
              <w:pStyle w:val="Other0"/>
              <w:spacing w:after="0" w:line="240" w:lineRule="auto"/>
              <w:jc w:val="center"/>
              <w:rPr>
                <w:lang w:val="sq-AL"/>
              </w:rPr>
            </w:pPr>
            <w:r w:rsidRPr="00CE5397">
              <w:rPr>
                <w:b/>
                <w:bCs/>
                <w:lang w:val="sq-AL"/>
              </w:rPr>
              <w:t xml:space="preserve">Neni 6 i Konventës </w:t>
            </w:r>
          </w:p>
          <w:p w:rsidR="000668C5" w:rsidRPr="00CE5397" w:rsidRDefault="000668C5" w:rsidP="00C20371">
            <w:pPr>
              <w:pStyle w:val="Other0"/>
              <w:spacing w:after="0" w:line="240" w:lineRule="auto"/>
              <w:jc w:val="center"/>
              <w:rPr>
                <w:lang w:val="sq-AL"/>
              </w:rPr>
            </w:pPr>
            <w:r w:rsidRPr="00CE5397">
              <w:rPr>
                <w:rStyle w:val="rynqvb"/>
                <w:rFonts w:eastAsia="Georgia"/>
                <w:lang w:val="sq-AL"/>
              </w:rPr>
              <w:t>Mosnjohja e vendimit të arbitrazhit të biznesit të gjykatës së arbitrazhit ndërkombëtar</w:t>
            </w:r>
          </w:p>
        </w:tc>
        <w:tc>
          <w:tcPr>
            <w:tcW w:w="1733" w:type="dxa"/>
            <w:tcBorders>
              <w:top w:val="single" w:sz="4" w:space="0" w:color="auto"/>
              <w:left w:val="single" w:sz="4" w:space="0" w:color="auto"/>
              <w:bottom w:val="single" w:sz="4" w:space="0" w:color="auto"/>
              <w:right w:val="single" w:sz="4" w:space="0" w:color="auto"/>
            </w:tcBorders>
            <w:shd w:val="clear" w:color="auto" w:fill="D4DDE4"/>
            <w:vAlign w:val="center"/>
          </w:tcPr>
          <w:p w:rsidR="000668C5" w:rsidRPr="00CE5397" w:rsidRDefault="000668C5" w:rsidP="00C20371">
            <w:pPr>
              <w:pStyle w:val="Other0"/>
              <w:spacing w:after="0" w:line="240" w:lineRule="auto"/>
              <w:jc w:val="center"/>
              <w:rPr>
                <w:lang w:val="sq-AL"/>
              </w:rPr>
            </w:pPr>
            <w:r w:rsidRPr="00CE5397">
              <w:rPr>
                <w:lang w:val="sq-AL"/>
              </w:rPr>
              <w:t>Mbikëqyrje standarde</w:t>
            </w:r>
          </w:p>
        </w:tc>
      </w:tr>
    </w:tbl>
    <w:p w:rsidR="003B25C9" w:rsidRDefault="003B25C9"/>
    <w:sectPr w:rsidR="003B25C9" w:rsidSect="00D65C97">
      <w:pgSz w:w="16840" w:h="11900" w:orient="landscape"/>
      <w:pgMar w:top="1385" w:right="1124" w:bottom="149" w:left="1402" w:header="957" w:footer="3" w:gutter="0"/>
      <w:cols w:space="720"/>
      <w:noEndnote/>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04A52" w:rsidRDefault="00F04A52" w:rsidP="00D65C97">
      <w:r>
        <w:separator/>
      </w:r>
    </w:p>
  </w:endnote>
  <w:endnote w:type="continuationSeparator" w:id="1">
    <w:p w:rsidR="00F04A52" w:rsidRDefault="00F04A52" w:rsidP="00D65C97">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36" type="#_x0000_t202" style="position:absolute;margin-left:317.35pt;margin-top:779.65pt;width:9.35pt;height:7.45pt;z-index:-188744055;mso-wrap-style:none;mso-wrap-distance-left:0;mso-wrap-distance-right:0;mso-position-horizontal-relative:page;mso-position-vertical-relative:page" wrapcoords="0 0" filled="f" stroked="f">
          <v:textbox style="mso-fit-shape-to-text:t" inset="0,0,0,0">
            <w:txbxContent>
              <w:p w:rsidR="00D65C97" w:rsidRDefault="00E5659D">
                <w:pPr>
                  <w:pStyle w:val="Headerorfooter20"/>
                  <w:rPr>
                    <w:sz w:val="22"/>
                    <w:szCs w:val="22"/>
                  </w:rPr>
                </w:pPr>
                <w:fldSimple w:instr=" PAGE \* MERGEFORMAT ">
                  <w:r w:rsidR="00C33E32" w:rsidRPr="00C33E32">
                    <w:rPr>
                      <w:noProof/>
                      <w:sz w:val="22"/>
                      <w:szCs w:val="22"/>
                    </w:rPr>
                    <w:t>2</w:t>
                  </w:r>
                </w:fldSimple>
              </w:p>
            </w:txbxContent>
          </v:textbox>
          <w10:wrap anchorx="page" anchory="page"/>
        </v:shape>
      </w:pic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34" type="#_x0000_t202" style="position:absolute;margin-left:317.35pt;margin-top:779.65pt;width:9.35pt;height:7.45pt;z-index:-188744057;mso-wrap-style:none;mso-wrap-distance-left:0;mso-wrap-distance-right:0;mso-position-horizontal-relative:page;mso-position-vertical-relative:page" wrapcoords="0 0" filled="f" stroked="f">
          <v:textbox style="mso-fit-shape-to-text:t" inset="0,0,0,0">
            <w:txbxContent>
              <w:p w:rsidR="00D65C97" w:rsidRDefault="00E5659D">
                <w:pPr>
                  <w:pStyle w:val="Headerorfooter20"/>
                  <w:rPr>
                    <w:sz w:val="22"/>
                    <w:szCs w:val="22"/>
                  </w:rPr>
                </w:pPr>
                <w:fldSimple w:instr=" PAGE \* MERGEFORMAT ">
                  <w:r w:rsidR="00C33E32" w:rsidRPr="00C33E32">
                    <w:rPr>
                      <w:noProof/>
                      <w:sz w:val="22"/>
                      <w:szCs w:val="22"/>
                    </w:rPr>
                    <w:t>13</w:t>
                  </w:r>
                </w:fldSimple>
              </w:p>
            </w:txbxContent>
          </v:textbox>
          <w10:wrap anchorx="page" anchory="page"/>
        </v:shape>
      </w:pic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48" type="#_x0000_t202" style="position:absolute;margin-left:318pt;margin-top:757.95pt;width:9.35pt;height:7.7pt;z-index:-188744045;mso-wrap-style:none;mso-wrap-distance-left:0;mso-wrap-distance-right:0;mso-position-horizontal-relative:page;mso-position-vertical-relative:page" wrapcoords="0 0" filled="f" stroked="f">
          <v:textbox style="mso-fit-shape-to-text:t" inset="0,0,0,0">
            <w:txbxContent>
              <w:p w:rsidR="00D65C97" w:rsidRDefault="00E5659D">
                <w:pPr>
                  <w:pStyle w:val="Headerorfooter20"/>
                  <w:rPr>
                    <w:sz w:val="22"/>
                    <w:szCs w:val="22"/>
                  </w:rPr>
                </w:pPr>
                <w:fldSimple w:instr=" PAGE \* MERGEFORMAT ">
                  <w:r w:rsidR="00C1447F" w:rsidRPr="00C1447F">
                    <w:rPr>
                      <w:noProof/>
                      <w:sz w:val="22"/>
                      <w:szCs w:val="22"/>
                    </w:rPr>
                    <w:t>16</w:t>
                  </w:r>
                </w:fldSimple>
              </w:p>
            </w:txbxContent>
          </v:textbox>
          <w10:wrap anchorx="page" anchory="page"/>
        </v:shape>
      </w:pict>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44" type="#_x0000_t202" style="position:absolute;margin-left:318pt;margin-top:757.95pt;width:9.35pt;height:7.7pt;z-index:-188744049;mso-wrap-style:none;mso-wrap-distance-left:0;mso-wrap-distance-right:0;mso-position-horizontal-relative:page;mso-position-vertical-relative:page" wrapcoords="0 0" filled="f" stroked="f">
          <v:textbox style="mso-fit-shape-to-text:t" inset="0,0,0,0">
            <w:txbxContent>
              <w:p w:rsidR="00D65C97" w:rsidRDefault="00E5659D">
                <w:pPr>
                  <w:pStyle w:val="Headerorfooter20"/>
                  <w:rPr>
                    <w:sz w:val="22"/>
                    <w:szCs w:val="22"/>
                  </w:rPr>
                </w:pPr>
                <w:fldSimple w:instr=" PAGE \* MERGEFORMAT ">
                  <w:r w:rsidR="00C33E32" w:rsidRPr="00C33E32">
                    <w:rPr>
                      <w:noProof/>
                      <w:sz w:val="22"/>
                      <w:szCs w:val="22"/>
                    </w:rPr>
                    <w:t>15</w:t>
                  </w:r>
                </w:fldSimple>
              </w:p>
            </w:txbxContent>
          </v:textbox>
          <w10:wrap anchorx="page" anchory="page"/>
        </v:shape>
      </w:pict>
    </w:r>
  </w:p>
</w:ftr>
</file>

<file path=word/footer5.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55" type="#_x0000_t202" style="position:absolute;margin-left:317.35pt;margin-top:779.65pt;width:9.35pt;height:7.45pt;z-index:-188744039;mso-wrap-style:none;mso-wrap-distance-left:0;mso-wrap-distance-right:0;mso-position-horizontal-relative:page;mso-position-vertical-relative:page" wrapcoords="0 0" filled="f" stroked="f">
          <v:textbox style="mso-fit-shape-to-text:t" inset="0,0,0,0">
            <w:txbxContent>
              <w:p w:rsidR="00D65C97" w:rsidRDefault="00E5659D">
                <w:pPr>
                  <w:pStyle w:val="Headerorfooter20"/>
                  <w:rPr>
                    <w:sz w:val="22"/>
                    <w:szCs w:val="22"/>
                  </w:rPr>
                </w:pPr>
                <w:fldSimple w:instr=" PAGE \* MERGEFORMAT ">
                  <w:r w:rsidR="00C33E32" w:rsidRPr="00C33E32">
                    <w:rPr>
                      <w:noProof/>
                      <w:sz w:val="22"/>
                      <w:szCs w:val="22"/>
                    </w:rPr>
                    <w:t>18</w:t>
                  </w:r>
                </w:fldSimple>
              </w:p>
            </w:txbxContent>
          </v:textbox>
          <w10:wrap anchorx="page" anchory="page"/>
        </v:shape>
      </w:pict>
    </w:r>
  </w:p>
</w:ftr>
</file>

<file path=word/footer6.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53" type="#_x0000_t202" style="position:absolute;margin-left:318pt;margin-top:757.95pt;width:9.35pt;height:7.7pt;z-index:-188744041;mso-wrap-style:none;mso-wrap-distance-left:0;mso-wrap-distance-right:0;mso-position-horizontal-relative:page;mso-position-vertical-relative:page" wrapcoords="0 0" filled="f" stroked="f">
          <v:textbox style="mso-fit-shape-to-text:t" inset="0,0,0,0">
            <w:txbxContent>
              <w:p w:rsidR="00D65C97" w:rsidRDefault="00E5659D">
                <w:pPr>
                  <w:pStyle w:val="Headerorfooter20"/>
                  <w:rPr>
                    <w:sz w:val="22"/>
                    <w:szCs w:val="22"/>
                  </w:rPr>
                </w:pPr>
                <w:fldSimple w:instr=" PAGE \* MERGEFORMAT ">
                  <w:r w:rsidR="00C33E32" w:rsidRPr="00C33E32">
                    <w:rPr>
                      <w:noProof/>
                      <w:sz w:val="22"/>
                      <w:szCs w:val="22"/>
                    </w:rPr>
                    <w:t>17</w:t>
                  </w:r>
                </w:fldSimple>
              </w:p>
            </w:txbxContent>
          </v:textbox>
          <w10:wrap anchorx="page" anchory="page"/>
        </v:shape>
      </w:pict>
    </w:r>
  </w:p>
</w:ftr>
</file>

<file path=word/footer7.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D65C97">
    <w:pPr>
      <w:spacing w:line="1" w:lineRule="exact"/>
    </w:pPr>
  </w:p>
</w:ftr>
</file>

<file path=word/footer8.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D65C97">
    <w:pPr>
      <w:spacing w:line="1" w:lineRule="exac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04A52" w:rsidRDefault="00F04A52">
      <w:r>
        <w:separator/>
      </w:r>
    </w:p>
  </w:footnote>
  <w:footnote w:type="continuationSeparator" w:id="1">
    <w:p w:rsidR="00F04A52" w:rsidRDefault="00F04A52">
      <w:r>
        <w:continuationSeparator/>
      </w:r>
    </w:p>
  </w:footnote>
  <w:footnote w:id="2">
    <w:p w:rsidR="00D65C97" w:rsidRDefault="003B25C9">
      <w:pPr>
        <w:pStyle w:val="Footnote0"/>
      </w:pPr>
      <w:r>
        <w:rPr>
          <w:vertAlign w:val="superscript"/>
        </w:rPr>
        <w:footnoteRef/>
      </w:r>
      <w:r>
        <w:t xml:space="preserve"> </w:t>
      </w:r>
      <w:r w:rsidR="00DE0A41">
        <w:rPr>
          <w:i/>
          <w:iCs/>
        </w:rPr>
        <w:t>Axhi</w:t>
      </w:r>
      <w:r>
        <w:rPr>
          <w:i/>
          <w:iCs/>
        </w:rPr>
        <w:t>-</w:t>
      </w:r>
      <w:r w:rsidR="00DE0A41">
        <w:rPr>
          <w:i/>
          <w:iCs/>
        </w:rPr>
        <w:t>Spirkoska dhe të tjerë</w:t>
      </w:r>
      <w:r>
        <w:t xml:space="preserve">, </w:t>
      </w:r>
      <w:r w:rsidR="00DE0A41">
        <w:t xml:space="preserve">vendim i datës </w:t>
      </w:r>
      <w:r>
        <w:t xml:space="preserve">3 </w:t>
      </w:r>
      <w:r w:rsidR="00DE0A41">
        <w:t>nëntor 2011</w:t>
      </w:r>
      <w:r>
        <w:t>.</w:t>
      </w:r>
    </w:p>
  </w:footnote>
  <w:footnote w:id="3">
    <w:p w:rsidR="00D65C97" w:rsidRDefault="003B25C9">
      <w:pPr>
        <w:pStyle w:val="Footnote0"/>
      </w:pPr>
      <w:r>
        <w:rPr>
          <w:vertAlign w:val="superscript"/>
        </w:rPr>
        <w:footnoteRef/>
      </w:r>
      <w:r w:rsidR="0019560B">
        <w:t xml:space="preserve">aktgjykim </w:t>
      </w:r>
      <w:r>
        <w:t xml:space="preserve"> 22 </w:t>
      </w:r>
      <w:r w:rsidR="0019560B">
        <w:t xml:space="preserve">janar </w:t>
      </w:r>
      <w:r>
        <w:t xml:space="preserve"> 2015.</w:t>
      </w:r>
    </w:p>
  </w:footnote>
  <w:footnote w:id="4">
    <w:p w:rsidR="00D65C97" w:rsidRDefault="0019560B">
      <w:pPr>
        <w:pStyle w:val="Footnote0"/>
        <w:pBdr>
          <w:top w:val="single" w:sz="4" w:space="0" w:color="auto"/>
        </w:pBdr>
      </w:pPr>
      <w:r>
        <w:t xml:space="preserve">aktgjykim  </w:t>
      </w:r>
      <w:r w:rsidR="003B25C9">
        <w:t xml:space="preserve">17 </w:t>
      </w:r>
      <w:r>
        <w:t xml:space="preserve">janar  </w:t>
      </w:r>
      <w:r w:rsidR="003B25C9">
        <w:t xml:space="preserve">2019 </w:t>
      </w:r>
    </w:p>
  </w:footnote>
  <w:footnote w:id="5">
    <w:p w:rsidR="00D65C97" w:rsidRDefault="0019560B">
      <w:pPr>
        <w:pStyle w:val="Footnote0"/>
      </w:pPr>
      <w:r>
        <w:t xml:space="preserve">aktgjykim  </w:t>
      </w:r>
      <w:r w:rsidR="003B25C9">
        <w:t xml:space="preserve">28 </w:t>
      </w:r>
      <w:r>
        <w:t>tetor</w:t>
      </w:r>
      <w:r w:rsidR="003B25C9">
        <w:t xml:space="preserve"> 2010 </w:t>
      </w:r>
    </w:p>
  </w:footnote>
  <w:footnote w:id="6">
    <w:p w:rsidR="00D65C97" w:rsidRDefault="0019560B">
      <w:pPr>
        <w:pStyle w:val="Footnote0"/>
      </w:pPr>
      <w:r>
        <w:t xml:space="preserve">aktgjykim  </w:t>
      </w:r>
      <w:r w:rsidR="003B25C9">
        <w:t xml:space="preserve">16 </w:t>
      </w:r>
      <w:r>
        <w:t>prill</w:t>
      </w:r>
      <w:r w:rsidR="003B25C9">
        <w:t xml:space="preserve"> 2015 </w:t>
      </w:r>
    </w:p>
  </w:footnote>
  <w:footnote w:id="7">
    <w:p w:rsidR="00310BA6" w:rsidRPr="00834F60" w:rsidRDefault="00310BA6">
      <w:pPr>
        <w:pStyle w:val="Footnote0"/>
        <w:jc w:val="both"/>
      </w:pPr>
      <w:r w:rsidRPr="00834F60">
        <w:rPr>
          <w:vertAlign w:val="superscript"/>
        </w:rPr>
        <w:footnoteRef/>
      </w:r>
      <w:r w:rsidRPr="00834F60">
        <w:t xml:space="preserve"> Ky rast ishte mbyllur për sa i përket masave individuale, përderisa në pjesën e masave të përgjithshme vazhdon të ndiqet në kornizat e grupit Kitanovski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46" type="#_x0000_t202" style="position:absolute;margin-left:109pt;margin-top:70.1pt;width:376.3pt;height:10.55pt;z-index:-188744047;mso-wrap-style:none;mso-wrap-distance-left:0;mso-wrap-distance-right:0;mso-position-horizontal-relative:page;mso-position-vertical-relative:page" wrapcoords="0 0" filled="f" stroked="f">
          <v:textbox style="mso-fit-shape-to-text:t" inset="0,0,0,0">
            <w:txbxContent>
              <w:p w:rsidR="00D65C97" w:rsidRDefault="003B25C9">
                <w:pPr>
                  <w:pStyle w:val="Headerorfooter20"/>
                  <w:rPr>
                    <w:sz w:val="24"/>
                    <w:szCs w:val="24"/>
                  </w:rPr>
                </w:pPr>
                <w:r>
                  <w:rPr>
                    <w:b/>
                    <w:bCs/>
                    <w:sz w:val="24"/>
                    <w:szCs w:val="24"/>
                  </w:rPr>
                  <w:t>ПРЕДМЕТИ ПОД НАДЗОР НА ИЗВРШУВАЊЕТО ОД СТРАНА НА</w:t>
                </w:r>
              </w:p>
            </w:txbxContent>
          </v:textbox>
          <w10:wrap anchorx="page" anchory="page"/>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42" type="#_x0000_t202" style="position:absolute;margin-left:109pt;margin-top:70.1pt;width:376.3pt;height:10.55pt;z-index:-188744051;mso-wrap-style:none;mso-wrap-distance-left:0;mso-wrap-distance-right:0;mso-position-horizontal-relative:page;mso-position-vertical-relative:page" wrapcoords="0 0" filled="f" stroked="f">
          <v:textbox style="mso-fit-shape-to-text:t" inset="0,0,0,0">
            <w:txbxContent>
              <w:p w:rsidR="00404294" w:rsidRDefault="00404294" w:rsidP="00404294">
                <w:r>
                  <w:rPr>
                    <w:rFonts w:ascii="Times New Roman" w:eastAsia="Times New Roman" w:hAnsi="Times New Roman" w:cs="Times New Roman"/>
                    <w:b/>
                    <w:bCs/>
                  </w:rPr>
                  <w:t>LËNDË NËN MBIKËQYRJE TË EKZEKUTIMIT NGA ANA E</w:t>
                </w:r>
              </w:p>
              <w:p w:rsidR="00D65C97" w:rsidRPr="00404294" w:rsidRDefault="00D65C97" w:rsidP="00404294"/>
            </w:txbxContent>
          </v:textbox>
          <w10:wrap anchorx="page" anchory="page"/>
        </v:shape>
      </w:pic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D65C97">
    <w:pPr>
      <w:spacing w:line="1" w:lineRule="exact"/>
    </w:pP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E5659D">
    <w:pPr>
      <w:spacing w:line="1" w:lineRule="exact"/>
    </w:pPr>
    <w:r>
      <w:pict>
        <v:shapetype id="_x0000_t202" coordsize="21600,21600" o:spt="202" path="m,l,21600r21600,l21600,xe">
          <v:stroke joinstyle="miter"/>
          <v:path gradientshapeok="t" o:connecttype="rect"/>
        </v:shapetype>
        <v:shape id="_x0000_s1051" type="#_x0000_t202" style="position:absolute;margin-left:109.4pt;margin-top:74.2pt;width:406.8pt;height:10.55pt;z-index:-188744043;mso-wrap-style:none;mso-wrap-distance-left:0;mso-wrap-distance-right:0;mso-position-horizontal-relative:page;mso-position-vertical-relative:page" wrapcoords="0 0" filled="f" stroked="f">
          <v:textbox style="mso-fit-shape-to-text:t" inset="0,0,0,0">
            <w:txbxContent>
              <w:p w:rsidR="00404294" w:rsidRPr="00834F60" w:rsidRDefault="00404294" w:rsidP="00404294">
                <w:pPr>
                  <w:rPr>
                    <w:b/>
                  </w:rPr>
                </w:pPr>
                <w:r w:rsidRPr="004A78D1">
                  <w:rPr>
                    <w:rFonts w:ascii="Times New Roman" w:eastAsia="Times New Roman" w:hAnsi="Times New Roman" w:cs="Times New Roman"/>
                    <w:b/>
                    <w:bCs/>
                  </w:rPr>
                  <w:t>RASTE TË REJA NËN MBIKËQYRJE MBI EKZEKUTIMIN NGA ANA</w:t>
                </w:r>
                <w:r w:rsidRPr="00834F60">
                  <w:rPr>
                    <w:rFonts w:ascii="Times New Roman" w:eastAsia="Times New Roman" w:hAnsi="Times New Roman" w:cs="Times New Roman"/>
                    <w:b/>
                    <w:bCs/>
                  </w:rPr>
                  <w:t xml:space="preserve"> E </w:t>
                </w:r>
              </w:p>
              <w:p w:rsidR="00D65C97" w:rsidRPr="00404294" w:rsidRDefault="00D65C97" w:rsidP="00404294"/>
            </w:txbxContent>
          </v:textbox>
          <w10:wrap anchorx="page" anchory="page"/>
        </v:shape>
      </w:pict>
    </w:r>
  </w:p>
</w:hdr>
</file>

<file path=word/header5.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D65C97"/>
</w:hdr>
</file>

<file path=word/header6.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65C97" w:rsidRDefault="00D65C9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D976EF2"/>
    <w:multiLevelType w:val="hybridMultilevel"/>
    <w:tmpl w:val="27868908"/>
    <w:lvl w:ilvl="0" w:tplc="042F0001">
      <w:start w:val="1"/>
      <w:numFmt w:val="bullet"/>
      <w:lvlText w:val=""/>
      <w:lvlJc w:val="left"/>
      <w:pPr>
        <w:ind w:left="860" w:hanging="360"/>
      </w:pPr>
      <w:rPr>
        <w:rFonts w:ascii="Symbol" w:hAnsi="Symbol" w:hint="default"/>
      </w:rPr>
    </w:lvl>
    <w:lvl w:ilvl="1" w:tplc="042F0003" w:tentative="1">
      <w:start w:val="1"/>
      <w:numFmt w:val="bullet"/>
      <w:lvlText w:val="o"/>
      <w:lvlJc w:val="left"/>
      <w:pPr>
        <w:ind w:left="1580" w:hanging="360"/>
      </w:pPr>
      <w:rPr>
        <w:rFonts w:ascii="Courier New" w:hAnsi="Courier New" w:cs="Courier New" w:hint="default"/>
      </w:rPr>
    </w:lvl>
    <w:lvl w:ilvl="2" w:tplc="042F0005" w:tentative="1">
      <w:start w:val="1"/>
      <w:numFmt w:val="bullet"/>
      <w:lvlText w:val=""/>
      <w:lvlJc w:val="left"/>
      <w:pPr>
        <w:ind w:left="2300" w:hanging="360"/>
      </w:pPr>
      <w:rPr>
        <w:rFonts w:ascii="Wingdings" w:hAnsi="Wingdings" w:hint="default"/>
      </w:rPr>
    </w:lvl>
    <w:lvl w:ilvl="3" w:tplc="042F0001" w:tentative="1">
      <w:start w:val="1"/>
      <w:numFmt w:val="bullet"/>
      <w:lvlText w:val=""/>
      <w:lvlJc w:val="left"/>
      <w:pPr>
        <w:ind w:left="3020" w:hanging="360"/>
      </w:pPr>
      <w:rPr>
        <w:rFonts w:ascii="Symbol" w:hAnsi="Symbol" w:hint="default"/>
      </w:rPr>
    </w:lvl>
    <w:lvl w:ilvl="4" w:tplc="042F0003" w:tentative="1">
      <w:start w:val="1"/>
      <w:numFmt w:val="bullet"/>
      <w:lvlText w:val="o"/>
      <w:lvlJc w:val="left"/>
      <w:pPr>
        <w:ind w:left="3740" w:hanging="360"/>
      </w:pPr>
      <w:rPr>
        <w:rFonts w:ascii="Courier New" w:hAnsi="Courier New" w:cs="Courier New" w:hint="default"/>
      </w:rPr>
    </w:lvl>
    <w:lvl w:ilvl="5" w:tplc="042F0005" w:tentative="1">
      <w:start w:val="1"/>
      <w:numFmt w:val="bullet"/>
      <w:lvlText w:val=""/>
      <w:lvlJc w:val="left"/>
      <w:pPr>
        <w:ind w:left="4460" w:hanging="360"/>
      </w:pPr>
      <w:rPr>
        <w:rFonts w:ascii="Wingdings" w:hAnsi="Wingdings" w:hint="default"/>
      </w:rPr>
    </w:lvl>
    <w:lvl w:ilvl="6" w:tplc="042F0001" w:tentative="1">
      <w:start w:val="1"/>
      <w:numFmt w:val="bullet"/>
      <w:lvlText w:val=""/>
      <w:lvlJc w:val="left"/>
      <w:pPr>
        <w:ind w:left="5180" w:hanging="360"/>
      </w:pPr>
      <w:rPr>
        <w:rFonts w:ascii="Symbol" w:hAnsi="Symbol" w:hint="default"/>
      </w:rPr>
    </w:lvl>
    <w:lvl w:ilvl="7" w:tplc="042F0003" w:tentative="1">
      <w:start w:val="1"/>
      <w:numFmt w:val="bullet"/>
      <w:lvlText w:val="o"/>
      <w:lvlJc w:val="left"/>
      <w:pPr>
        <w:ind w:left="5900" w:hanging="360"/>
      </w:pPr>
      <w:rPr>
        <w:rFonts w:ascii="Courier New" w:hAnsi="Courier New" w:cs="Courier New" w:hint="default"/>
      </w:rPr>
    </w:lvl>
    <w:lvl w:ilvl="8" w:tplc="042F0005" w:tentative="1">
      <w:start w:val="1"/>
      <w:numFmt w:val="bullet"/>
      <w:lvlText w:val=""/>
      <w:lvlJc w:val="left"/>
      <w:pPr>
        <w:ind w:left="6620" w:hanging="360"/>
      </w:pPr>
      <w:rPr>
        <w:rFonts w:ascii="Wingdings" w:hAnsi="Wingdings" w:hint="default"/>
      </w:rPr>
    </w:lvl>
  </w:abstractNum>
  <w:abstractNum w:abstractNumId="1">
    <w:nsid w:val="217B2840"/>
    <w:multiLevelType w:val="multilevel"/>
    <w:tmpl w:val="B2C4B62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22ED176C"/>
    <w:multiLevelType w:val="multilevel"/>
    <w:tmpl w:val="6D164D44"/>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3D900DEA"/>
    <w:multiLevelType w:val="multilevel"/>
    <w:tmpl w:val="DE2023D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nsid w:val="41342B16"/>
    <w:multiLevelType w:val="multilevel"/>
    <w:tmpl w:val="6A5A7332"/>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4"/>
        <w:szCs w:val="24"/>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nsid w:val="45C30DEC"/>
    <w:multiLevelType w:val="multilevel"/>
    <w:tmpl w:val="919CB4B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nsid w:val="46F27190"/>
    <w:multiLevelType w:val="hybridMultilevel"/>
    <w:tmpl w:val="EF10E9B4"/>
    <w:lvl w:ilvl="0" w:tplc="042F0001">
      <w:start w:val="1"/>
      <w:numFmt w:val="bullet"/>
      <w:lvlText w:val=""/>
      <w:lvlJc w:val="left"/>
      <w:pPr>
        <w:ind w:left="860" w:hanging="360"/>
      </w:pPr>
      <w:rPr>
        <w:rFonts w:ascii="Symbol" w:hAnsi="Symbol" w:hint="default"/>
      </w:rPr>
    </w:lvl>
    <w:lvl w:ilvl="1" w:tplc="042F0003" w:tentative="1">
      <w:start w:val="1"/>
      <w:numFmt w:val="bullet"/>
      <w:lvlText w:val="o"/>
      <w:lvlJc w:val="left"/>
      <w:pPr>
        <w:ind w:left="1580" w:hanging="360"/>
      </w:pPr>
      <w:rPr>
        <w:rFonts w:ascii="Courier New" w:hAnsi="Courier New" w:cs="Courier New" w:hint="default"/>
      </w:rPr>
    </w:lvl>
    <w:lvl w:ilvl="2" w:tplc="042F0005" w:tentative="1">
      <w:start w:val="1"/>
      <w:numFmt w:val="bullet"/>
      <w:lvlText w:val=""/>
      <w:lvlJc w:val="left"/>
      <w:pPr>
        <w:ind w:left="2300" w:hanging="360"/>
      </w:pPr>
      <w:rPr>
        <w:rFonts w:ascii="Wingdings" w:hAnsi="Wingdings" w:hint="default"/>
      </w:rPr>
    </w:lvl>
    <w:lvl w:ilvl="3" w:tplc="042F0001" w:tentative="1">
      <w:start w:val="1"/>
      <w:numFmt w:val="bullet"/>
      <w:lvlText w:val=""/>
      <w:lvlJc w:val="left"/>
      <w:pPr>
        <w:ind w:left="3020" w:hanging="360"/>
      </w:pPr>
      <w:rPr>
        <w:rFonts w:ascii="Symbol" w:hAnsi="Symbol" w:hint="default"/>
      </w:rPr>
    </w:lvl>
    <w:lvl w:ilvl="4" w:tplc="042F0003" w:tentative="1">
      <w:start w:val="1"/>
      <w:numFmt w:val="bullet"/>
      <w:lvlText w:val="o"/>
      <w:lvlJc w:val="left"/>
      <w:pPr>
        <w:ind w:left="3740" w:hanging="360"/>
      </w:pPr>
      <w:rPr>
        <w:rFonts w:ascii="Courier New" w:hAnsi="Courier New" w:cs="Courier New" w:hint="default"/>
      </w:rPr>
    </w:lvl>
    <w:lvl w:ilvl="5" w:tplc="042F0005" w:tentative="1">
      <w:start w:val="1"/>
      <w:numFmt w:val="bullet"/>
      <w:lvlText w:val=""/>
      <w:lvlJc w:val="left"/>
      <w:pPr>
        <w:ind w:left="4460" w:hanging="360"/>
      </w:pPr>
      <w:rPr>
        <w:rFonts w:ascii="Wingdings" w:hAnsi="Wingdings" w:hint="default"/>
      </w:rPr>
    </w:lvl>
    <w:lvl w:ilvl="6" w:tplc="042F0001" w:tentative="1">
      <w:start w:val="1"/>
      <w:numFmt w:val="bullet"/>
      <w:lvlText w:val=""/>
      <w:lvlJc w:val="left"/>
      <w:pPr>
        <w:ind w:left="5180" w:hanging="360"/>
      </w:pPr>
      <w:rPr>
        <w:rFonts w:ascii="Symbol" w:hAnsi="Symbol" w:hint="default"/>
      </w:rPr>
    </w:lvl>
    <w:lvl w:ilvl="7" w:tplc="042F0003" w:tentative="1">
      <w:start w:val="1"/>
      <w:numFmt w:val="bullet"/>
      <w:lvlText w:val="o"/>
      <w:lvlJc w:val="left"/>
      <w:pPr>
        <w:ind w:left="5900" w:hanging="360"/>
      </w:pPr>
      <w:rPr>
        <w:rFonts w:ascii="Courier New" w:hAnsi="Courier New" w:cs="Courier New" w:hint="default"/>
      </w:rPr>
    </w:lvl>
    <w:lvl w:ilvl="8" w:tplc="042F0005" w:tentative="1">
      <w:start w:val="1"/>
      <w:numFmt w:val="bullet"/>
      <w:lvlText w:val=""/>
      <w:lvlJc w:val="left"/>
      <w:pPr>
        <w:ind w:left="6620" w:hanging="360"/>
      </w:pPr>
      <w:rPr>
        <w:rFonts w:ascii="Wingdings" w:hAnsi="Wingdings" w:hint="default"/>
      </w:rPr>
    </w:lvl>
  </w:abstractNum>
  <w:abstractNum w:abstractNumId="7">
    <w:nsid w:val="5D350495"/>
    <w:multiLevelType w:val="multilevel"/>
    <w:tmpl w:val="14626DB2"/>
    <w:lvl w:ilvl="0">
      <w:start w:val="1"/>
      <w:numFmt w:val="bullet"/>
      <w:lvlText w:val="•"/>
      <w:lvlJc w:val="left"/>
      <w:rPr>
        <w:rFonts w:ascii="Arial" w:eastAsia="Arial" w:hAnsi="Arial" w:cs="Arial"/>
        <w:b w:val="0"/>
        <w:bCs w:val="0"/>
        <w:i w:val="0"/>
        <w:iCs w:val="0"/>
        <w:smallCaps w:val="0"/>
        <w:strike w:val="0"/>
        <w:color w:val="000000"/>
        <w:spacing w:val="0"/>
        <w:w w:val="100"/>
        <w:position w:val="0"/>
        <w:sz w:val="20"/>
        <w:szCs w:val="20"/>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nsid w:val="620E7A2D"/>
    <w:multiLevelType w:val="multilevel"/>
    <w:tmpl w:val="A690744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642076C2"/>
    <w:multiLevelType w:val="hybridMultilevel"/>
    <w:tmpl w:val="441441BC"/>
    <w:lvl w:ilvl="0" w:tplc="042F0001">
      <w:start w:val="1"/>
      <w:numFmt w:val="bullet"/>
      <w:lvlText w:val=""/>
      <w:lvlJc w:val="left"/>
      <w:pPr>
        <w:ind w:left="720" w:hanging="360"/>
      </w:pPr>
      <w:rPr>
        <w:rFonts w:ascii="Symbol" w:hAnsi="Symbol" w:hint="default"/>
      </w:rPr>
    </w:lvl>
    <w:lvl w:ilvl="1" w:tplc="042F0003" w:tentative="1">
      <w:start w:val="1"/>
      <w:numFmt w:val="bullet"/>
      <w:lvlText w:val="o"/>
      <w:lvlJc w:val="left"/>
      <w:pPr>
        <w:ind w:left="1440" w:hanging="360"/>
      </w:pPr>
      <w:rPr>
        <w:rFonts w:ascii="Courier New" w:hAnsi="Courier New" w:cs="Courier New" w:hint="default"/>
      </w:rPr>
    </w:lvl>
    <w:lvl w:ilvl="2" w:tplc="042F0005" w:tentative="1">
      <w:start w:val="1"/>
      <w:numFmt w:val="bullet"/>
      <w:lvlText w:val=""/>
      <w:lvlJc w:val="left"/>
      <w:pPr>
        <w:ind w:left="2160" w:hanging="360"/>
      </w:pPr>
      <w:rPr>
        <w:rFonts w:ascii="Wingdings" w:hAnsi="Wingdings" w:hint="default"/>
      </w:rPr>
    </w:lvl>
    <w:lvl w:ilvl="3" w:tplc="042F0001" w:tentative="1">
      <w:start w:val="1"/>
      <w:numFmt w:val="bullet"/>
      <w:lvlText w:val=""/>
      <w:lvlJc w:val="left"/>
      <w:pPr>
        <w:ind w:left="2880" w:hanging="360"/>
      </w:pPr>
      <w:rPr>
        <w:rFonts w:ascii="Symbol" w:hAnsi="Symbol" w:hint="default"/>
      </w:rPr>
    </w:lvl>
    <w:lvl w:ilvl="4" w:tplc="042F0003" w:tentative="1">
      <w:start w:val="1"/>
      <w:numFmt w:val="bullet"/>
      <w:lvlText w:val="o"/>
      <w:lvlJc w:val="left"/>
      <w:pPr>
        <w:ind w:left="3600" w:hanging="360"/>
      </w:pPr>
      <w:rPr>
        <w:rFonts w:ascii="Courier New" w:hAnsi="Courier New" w:cs="Courier New" w:hint="default"/>
      </w:rPr>
    </w:lvl>
    <w:lvl w:ilvl="5" w:tplc="042F0005" w:tentative="1">
      <w:start w:val="1"/>
      <w:numFmt w:val="bullet"/>
      <w:lvlText w:val=""/>
      <w:lvlJc w:val="left"/>
      <w:pPr>
        <w:ind w:left="4320" w:hanging="360"/>
      </w:pPr>
      <w:rPr>
        <w:rFonts w:ascii="Wingdings" w:hAnsi="Wingdings" w:hint="default"/>
      </w:rPr>
    </w:lvl>
    <w:lvl w:ilvl="6" w:tplc="042F0001" w:tentative="1">
      <w:start w:val="1"/>
      <w:numFmt w:val="bullet"/>
      <w:lvlText w:val=""/>
      <w:lvlJc w:val="left"/>
      <w:pPr>
        <w:ind w:left="5040" w:hanging="360"/>
      </w:pPr>
      <w:rPr>
        <w:rFonts w:ascii="Symbol" w:hAnsi="Symbol" w:hint="default"/>
      </w:rPr>
    </w:lvl>
    <w:lvl w:ilvl="7" w:tplc="042F0003" w:tentative="1">
      <w:start w:val="1"/>
      <w:numFmt w:val="bullet"/>
      <w:lvlText w:val="o"/>
      <w:lvlJc w:val="left"/>
      <w:pPr>
        <w:ind w:left="5760" w:hanging="360"/>
      </w:pPr>
      <w:rPr>
        <w:rFonts w:ascii="Courier New" w:hAnsi="Courier New" w:cs="Courier New" w:hint="default"/>
      </w:rPr>
    </w:lvl>
    <w:lvl w:ilvl="8" w:tplc="042F0005" w:tentative="1">
      <w:start w:val="1"/>
      <w:numFmt w:val="bullet"/>
      <w:lvlText w:val=""/>
      <w:lvlJc w:val="left"/>
      <w:pPr>
        <w:ind w:left="6480" w:hanging="360"/>
      </w:pPr>
      <w:rPr>
        <w:rFonts w:ascii="Wingdings" w:hAnsi="Wingdings" w:hint="default"/>
      </w:rPr>
    </w:lvl>
  </w:abstractNum>
  <w:abstractNum w:abstractNumId="10">
    <w:nsid w:val="6B6C6F05"/>
    <w:multiLevelType w:val="multilevel"/>
    <w:tmpl w:val="DDD857BE"/>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auto"/>
        <w:lang w:val="mk-MK" w:eastAsia="mk-MK" w:bidi="mk-MK"/>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2"/>
  </w:num>
  <w:num w:numId="2">
    <w:abstractNumId w:val="7"/>
  </w:num>
  <w:num w:numId="3">
    <w:abstractNumId w:val="8"/>
  </w:num>
  <w:num w:numId="4">
    <w:abstractNumId w:val="5"/>
  </w:num>
  <w:num w:numId="5">
    <w:abstractNumId w:val="4"/>
  </w:num>
  <w:num w:numId="6">
    <w:abstractNumId w:val="1"/>
  </w:num>
  <w:num w:numId="7">
    <w:abstractNumId w:val="9"/>
  </w:num>
  <w:num w:numId="8">
    <w:abstractNumId w:val="0"/>
  </w:num>
  <w:num w:numId="9">
    <w:abstractNumId w:val="6"/>
  </w:num>
  <w:num w:numId="10">
    <w:abstractNumId w:val="10"/>
  </w:num>
  <w:num w:numId="11">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20"/>
  <w:evenAndOddHeaders/>
  <w:drawingGridHorizontalSpacing w:val="181"/>
  <w:drawingGridVerticalSpacing w:val="181"/>
  <w:characterSpacingControl w:val="compressPunctuation"/>
  <w:hdrShapeDefaults>
    <o:shapedefaults v:ext="edit" spidmax="7170"/>
    <o:shapelayout v:ext="edit">
      <o:idmap v:ext="edit" data="1"/>
    </o:shapelayout>
  </w:hdrShapeDefaults>
  <w:footnotePr>
    <w:footnote w:id="0"/>
    <w:footnote w:id="1"/>
  </w:footnotePr>
  <w:endnotePr>
    <w:endnote w:id="0"/>
    <w:endnote w:id="1"/>
  </w:endnotePr>
  <w:compat>
    <w:doNotExpandShiftReturn/>
  </w:compat>
  <w:rsids>
    <w:rsidRoot w:val="00D65C97"/>
    <w:rsid w:val="00040AE3"/>
    <w:rsid w:val="000668C5"/>
    <w:rsid w:val="000A140C"/>
    <w:rsid w:val="0019240F"/>
    <w:rsid w:val="0019560B"/>
    <w:rsid w:val="001A0CBD"/>
    <w:rsid w:val="002708D4"/>
    <w:rsid w:val="00286C2D"/>
    <w:rsid w:val="003020A0"/>
    <w:rsid w:val="00310BA6"/>
    <w:rsid w:val="003B25C9"/>
    <w:rsid w:val="00404294"/>
    <w:rsid w:val="004A3C04"/>
    <w:rsid w:val="00572F31"/>
    <w:rsid w:val="005C5C38"/>
    <w:rsid w:val="00633523"/>
    <w:rsid w:val="00644E4A"/>
    <w:rsid w:val="007438BB"/>
    <w:rsid w:val="00901892"/>
    <w:rsid w:val="00903BA3"/>
    <w:rsid w:val="00994D95"/>
    <w:rsid w:val="009E638E"/>
    <w:rsid w:val="00A12F42"/>
    <w:rsid w:val="00A20B93"/>
    <w:rsid w:val="00A85F4A"/>
    <w:rsid w:val="00AF6295"/>
    <w:rsid w:val="00BE1CF9"/>
    <w:rsid w:val="00C1447F"/>
    <w:rsid w:val="00C33E32"/>
    <w:rsid w:val="00C404FF"/>
    <w:rsid w:val="00D65C97"/>
    <w:rsid w:val="00D8259C"/>
    <w:rsid w:val="00DE0A41"/>
    <w:rsid w:val="00E418E6"/>
    <w:rsid w:val="00E5659D"/>
    <w:rsid w:val="00F04A52"/>
  </w:rsids>
  <m:mathPr>
    <m:mathFont m:val="Cambria Math"/>
    <m:brkBin m:val="before"/>
    <m:brkBinSub m:val="--"/>
    <m:smallFrac m:val="off"/>
    <m:dispDef/>
    <m:lMargin m:val="0"/>
    <m:rMargin m:val="0"/>
    <m:defJc m:val="centerGroup"/>
    <m:wrapIndent m:val="1440"/>
    <m:intLim m:val="subSup"/>
    <m:naryLim m:val="undOvr"/>
  </m:mathPr>
  <w:themeFontLang w:val="mk-MK"/>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ourier New" w:eastAsia="Courier New" w:hAnsi="Courier New" w:cs="Courier New"/>
        <w:sz w:val="24"/>
        <w:szCs w:val="24"/>
        <w:lang w:val="mk-MK" w:eastAsia="mk-MK" w:bidi="mk-MK"/>
      </w:rPr>
    </w:rPrDefault>
    <w:pPrDefault>
      <w:pPr>
        <w:widowControl w:val="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D65C97"/>
    <w:rPr>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Footnote">
    <w:name w:val="Footnote_"/>
    <w:basedOn w:val="DefaultParagraphFont"/>
    <w:link w:val="Footnote0"/>
    <w:rsid w:val="00D65C97"/>
    <w:rPr>
      <w:rFonts w:ascii="Times New Roman" w:eastAsia="Times New Roman" w:hAnsi="Times New Roman" w:cs="Times New Roman"/>
      <w:b w:val="0"/>
      <w:bCs w:val="0"/>
      <w:i w:val="0"/>
      <w:iCs w:val="0"/>
      <w:smallCaps w:val="0"/>
      <w:strike w:val="0"/>
      <w:sz w:val="14"/>
      <w:szCs w:val="14"/>
      <w:u w:val="none"/>
    </w:rPr>
  </w:style>
  <w:style w:type="character" w:customStyle="1" w:styleId="Bodytext">
    <w:name w:val="Body text_"/>
    <w:basedOn w:val="DefaultParagraphFont"/>
    <w:link w:val="Bodytext0"/>
    <w:rsid w:val="00D65C97"/>
    <w:rPr>
      <w:rFonts w:ascii="Times New Roman" w:eastAsia="Times New Roman" w:hAnsi="Times New Roman" w:cs="Times New Roman"/>
      <w:b w:val="0"/>
      <w:bCs w:val="0"/>
      <w:i w:val="0"/>
      <w:iCs w:val="0"/>
      <w:smallCaps w:val="0"/>
      <w:strike w:val="0"/>
      <w:u w:val="none"/>
    </w:rPr>
  </w:style>
  <w:style w:type="character" w:customStyle="1" w:styleId="Heading1">
    <w:name w:val="Heading #1_"/>
    <w:basedOn w:val="DefaultParagraphFont"/>
    <w:link w:val="Heading10"/>
    <w:rsid w:val="00D65C97"/>
    <w:rPr>
      <w:rFonts w:ascii="Cambria" w:eastAsia="Cambria" w:hAnsi="Cambria" w:cs="Cambria"/>
      <w:b/>
      <w:bCs/>
      <w:i w:val="0"/>
      <w:iCs w:val="0"/>
      <w:smallCaps w:val="0"/>
      <w:strike w:val="0"/>
      <w:color w:val="1A1919"/>
      <w:sz w:val="34"/>
      <w:szCs w:val="34"/>
      <w:u w:val="none"/>
    </w:rPr>
  </w:style>
  <w:style w:type="character" w:customStyle="1" w:styleId="Bodytext2">
    <w:name w:val="Body text (2)_"/>
    <w:basedOn w:val="DefaultParagraphFont"/>
    <w:link w:val="Bodytext20"/>
    <w:rsid w:val="00D65C97"/>
    <w:rPr>
      <w:rFonts w:ascii="Cambria" w:eastAsia="Cambria" w:hAnsi="Cambria" w:cs="Cambria"/>
      <w:b/>
      <w:bCs/>
      <w:i w:val="0"/>
      <w:iCs w:val="0"/>
      <w:smallCaps w:val="0"/>
      <w:strike w:val="0"/>
      <w:color w:val="1A1919"/>
      <w:u w:val="none"/>
    </w:rPr>
  </w:style>
  <w:style w:type="character" w:customStyle="1" w:styleId="Heading3">
    <w:name w:val="Heading #3_"/>
    <w:basedOn w:val="DefaultParagraphFont"/>
    <w:link w:val="Heading30"/>
    <w:rsid w:val="00D65C97"/>
    <w:rPr>
      <w:rFonts w:ascii="Times New Roman" w:eastAsia="Times New Roman" w:hAnsi="Times New Roman" w:cs="Times New Roman"/>
      <w:b/>
      <w:bCs/>
      <w:i w:val="0"/>
      <w:iCs w:val="0"/>
      <w:smallCaps w:val="0"/>
      <w:strike w:val="0"/>
      <w:u w:val="none"/>
    </w:rPr>
  </w:style>
  <w:style w:type="character" w:customStyle="1" w:styleId="Headerorfooter2">
    <w:name w:val="Header or footer (2)_"/>
    <w:basedOn w:val="DefaultParagraphFont"/>
    <w:link w:val="Headerorfooter20"/>
    <w:rsid w:val="00D65C97"/>
    <w:rPr>
      <w:rFonts w:ascii="Times New Roman" w:eastAsia="Times New Roman" w:hAnsi="Times New Roman" w:cs="Times New Roman"/>
      <w:b w:val="0"/>
      <w:bCs w:val="0"/>
      <w:i w:val="0"/>
      <w:iCs w:val="0"/>
      <w:smallCaps w:val="0"/>
      <w:strike w:val="0"/>
      <w:sz w:val="20"/>
      <w:szCs w:val="20"/>
      <w:u w:val="none"/>
    </w:rPr>
  </w:style>
  <w:style w:type="character" w:customStyle="1" w:styleId="Heading2">
    <w:name w:val="Heading #2_"/>
    <w:basedOn w:val="DefaultParagraphFont"/>
    <w:link w:val="Heading20"/>
    <w:rsid w:val="00D65C97"/>
    <w:rPr>
      <w:rFonts w:ascii="Calibri" w:eastAsia="Calibri" w:hAnsi="Calibri" w:cs="Calibri"/>
      <w:b/>
      <w:bCs/>
      <w:i w:val="0"/>
      <w:iCs w:val="0"/>
      <w:smallCaps w:val="0"/>
      <w:strike w:val="0"/>
      <w:color w:val="595959"/>
      <w:sz w:val="32"/>
      <w:szCs w:val="32"/>
      <w:u w:val="none"/>
    </w:rPr>
  </w:style>
  <w:style w:type="character" w:customStyle="1" w:styleId="Tablecaption">
    <w:name w:val="Table caption_"/>
    <w:basedOn w:val="DefaultParagraphFont"/>
    <w:link w:val="Tablecaption0"/>
    <w:rsid w:val="00D65C97"/>
    <w:rPr>
      <w:rFonts w:ascii="Times New Roman" w:eastAsia="Times New Roman" w:hAnsi="Times New Roman" w:cs="Times New Roman"/>
      <w:b/>
      <w:bCs/>
      <w:i w:val="0"/>
      <w:iCs w:val="0"/>
      <w:smallCaps w:val="0"/>
      <w:strike w:val="0"/>
      <w:sz w:val="22"/>
      <w:szCs w:val="22"/>
      <w:u w:val="none"/>
    </w:rPr>
  </w:style>
  <w:style w:type="character" w:customStyle="1" w:styleId="Other">
    <w:name w:val="Other_"/>
    <w:basedOn w:val="DefaultParagraphFont"/>
    <w:link w:val="Other0"/>
    <w:rsid w:val="00D65C97"/>
    <w:rPr>
      <w:rFonts w:ascii="Times New Roman" w:eastAsia="Times New Roman" w:hAnsi="Times New Roman" w:cs="Times New Roman"/>
      <w:b w:val="0"/>
      <w:bCs w:val="0"/>
      <w:i w:val="0"/>
      <w:iCs w:val="0"/>
      <w:smallCaps w:val="0"/>
      <w:strike w:val="0"/>
      <w:u w:val="none"/>
    </w:rPr>
  </w:style>
  <w:style w:type="paragraph" w:customStyle="1" w:styleId="Footnote0">
    <w:name w:val="Footnote"/>
    <w:basedOn w:val="Normal"/>
    <w:link w:val="Footnote"/>
    <w:rsid w:val="00D65C97"/>
    <w:rPr>
      <w:rFonts w:ascii="Times New Roman" w:eastAsia="Times New Roman" w:hAnsi="Times New Roman" w:cs="Times New Roman"/>
      <w:sz w:val="14"/>
      <w:szCs w:val="14"/>
    </w:rPr>
  </w:style>
  <w:style w:type="paragraph" w:customStyle="1" w:styleId="Bodytext0">
    <w:name w:val="Body text"/>
    <w:basedOn w:val="Normal"/>
    <w:link w:val="Bodytext"/>
    <w:qFormat/>
    <w:rsid w:val="00D65C97"/>
    <w:pPr>
      <w:spacing w:after="400" w:line="360" w:lineRule="auto"/>
    </w:pPr>
    <w:rPr>
      <w:rFonts w:ascii="Times New Roman" w:eastAsia="Times New Roman" w:hAnsi="Times New Roman" w:cs="Times New Roman"/>
    </w:rPr>
  </w:style>
  <w:style w:type="paragraph" w:customStyle="1" w:styleId="Heading10">
    <w:name w:val="Heading #1"/>
    <w:basedOn w:val="Normal"/>
    <w:link w:val="Heading1"/>
    <w:rsid w:val="00D65C97"/>
    <w:pPr>
      <w:spacing w:after="180"/>
      <w:jc w:val="center"/>
      <w:outlineLvl w:val="0"/>
    </w:pPr>
    <w:rPr>
      <w:rFonts w:ascii="Cambria" w:eastAsia="Cambria" w:hAnsi="Cambria" w:cs="Cambria"/>
      <w:b/>
      <w:bCs/>
      <w:color w:val="1A1919"/>
      <w:sz w:val="34"/>
      <w:szCs w:val="34"/>
    </w:rPr>
  </w:style>
  <w:style w:type="paragraph" w:customStyle="1" w:styleId="Bodytext20">
    <w:name w:val="Body text (2)"/>
    <w:basedOn w:val="Normal"/>
    <w:link w:val="Bodytext2"/>
    <w:rsid w:val="00D65C97"/>
    <w:pPr>
      <w:spacing w:after="4280" w:line="233" w:lineRule="auto"/>
      <w:jc w:val="center"/>
    </w:pPr>
    <w:rPr>
      <w:rFonts w:ascii="Cambria" w:eastAsia="Cambria" w:hAnsi="Cambria" w:cs="Cambria"/>
      <w:b/>
      <w:bCs/>
      <w:color w:val="1A1919"/>
    </w:rPr>
  </w:style>
  <w:style w:type="paragraph" w:customStyle="1" w:styleId="Heading30">
    <w:name w:val="Heading #3"/>
    <w:basedOn w:val="Normal"/>
    <w:link w:val="Heading3"/>
    <w:rsid w:val="00D65C97"/>
    <w:pPr>
      <w:spacing w:after="400" w:line="360" w:lineRule="auto"/>
      <w:outlineLvl w:val="2"/>
    </w:pPr>
    <w:rPr>
      <w:rFonts w:ascii="Times New Roman" w:eastAsia="Times New Roman" w:hAnsi="Times New Roman" w:cs="Times New Roman"/>
      <w:b/>
      <w:bCs/>
    </w:rPr>
  </w:style>
  <w:style w:type="paragraph" w:customStyle="1" w:styleId="Headerorfooter20">
    <w:name w:val="Header or footer (2)"/>
    <w:basedOn w:val="Normal"/>
    <w:link w:val="Headerorfooter2"/>
    <w:rsid w:val="00D65C97"/>
    <w:rPr>
      <w:rFonts w:ascii="Times New Roman" w:eastAsia="Times New Roman" w:hAnsi="Times New Roman" w:cs="Times New Roman"/>
      <w:sz w:val="20"/>
      <w:szCs w:val="20"/>
    </w:rPr>
  </w:style>
  <w:style w:type="paragraph" w:customStyle="1" w:styleId="Heading20">
    <w:name w:val="Heading #2"/>
    <w:basedOn w:val="Normal"/>
    <w:link w:val="Heading2"/>
    <w:rsid w:val="00D65C97"/>
    <w:pPr>
      <w:spacing w:after="280"/>
      <w:jc w:val="center"/>
      <w:outlineLvl w:val="1"/>
    </w:pPr>
    <w:rPr>
      <w:rFonts w:ascii="Calibri" w:eastAsia="Calibri" w:hAnsi="Calibri" w:cs="Calibri"/>
      <w:b/>
      <w:bCs/>
      <w:color w:val="595959"/>
      <w:sz w:val="32"/>
      <w:szCs w:val="32"/>
    </w:rPr>
  </w:style>
  <w:style w:type="paragraph" w:customStyle="1" w:styleId="Tablecaption0">
    <w:name w:val="Table caption"/>
    <w:basedOn w:val="Normal"/>
    <w:link w:val="Tablecaption"/>
    <w:rsid w:val="00D65C97"/>
    <w:rPr>
      <w:rFonts w:ascii="Times New Roman" w:eastAsia="Times New Roman" w:hAnsi="Times New Roman" w:cs="Times New Roman"/>
      <w:b/>
      <w:bCs/>
      <w:sz w:val="22"/>
      <w:szCs w:val="22"/>
    </w:rPr>
  </w:style>
  <w:style w:type="paragraph" w:customStyle="1" w:styleId="Other0">
    <w:name w:val="Other"/>
    <w:basedOn w:val="Normal"/>
    <w:link w:val="Other"/>
    <w:rsid w:val="00D65C97"/>
    <w:pPr>
      <w:spacing w:after="400" w:line="360" w:lineRule="auto"/>
    </w:pPr>
    <w:rPr>
      <w:rFonts w:ascii="Times New Roman" w:eastAsia="Times New Roman" w:hAnsi="Times New Roman" w:cs="Times New Roman"/>
    </w:rPr>
  </w:style>
  <w:style w:type="paragraph" w:styleId="BalloonText">
    <w:name w:val="Balloon Text"/>
    <w:basedOn w:val="Normal"/>
    <w:link w:val="BalloonTextChar"/>
    <w:uiPriority w:val="99"/>
    <w:semiHidden/>
    <w:unhideWhenUsed/>
    <w:rsid w:val="00BE1CF9"/>
    <w:rPr>
      <w:rFonts w:ascii="Tahoma" w:hAnsi="Tahoma" w:cs="Tahoma"/>
      <w:sz w:val="16"/>
      <w:szCs w:val="16"/>
    </w:rPr>
  </w:style>
  <w:style w:type="character" w:customStyle="1" w:styleId="BalloonTextChar">
    <w:name w:val="Balloon Text Char"/>
    <w:basedOn w:val="DefaultParagraphFont"/>
    <w:link w:val="BalloonText"/>
    <w:uiPriority w:val="99"/>
    <w:semiHidden/>
    <w:rsid w:val="00BE1CF9"/>
    <w:rPr>
      <w:rFonts w:ascii="Tahoma" w:hAnsi="Tahoma" w:cs="Tahoma"/>
      <w:color w:val="000000"/>
      <w:sz w:val="16"/>
      <w:szCs w:val="16"/>
    </w:rPr>
  </w:style>
  <w:style w:type="character" w:customStyle="1" w:styleId="Bodytext3">
    <w:name w:val="Body text (3)_"/>
    <w:basedOn w:val="DefaultParagraphFont"/>
    <w:link w:val="Bodytext30"/>
    <w:rsid w:val="00BE1CF9"/>
    <w:rPr>
      <w:rFonts w:ascii="Georgia" w:eastAsia="Georgia" w:hAnsi="Georgia" w:cs="Georgia"/>
      <w:color w:val="1C1C1A"/>
    </w:rPr>
  </w:style>
  <w:style w:type="character" w:customStyle="1" w:styleId="Headerorfooter">
    <w:name w:val="Header or footer_"/>
    <w:basedOn w:val="DefaultParagraphFont"/>
    <w:link w:val="Headerorfooter0"/>
    <w:rsid w:val="00BE1CF9"/>
    <w:rPr>
      <w:rFonts w:ascii="Calibri" w:eastAsia="Calibri" w:hAnsi="Calibri" w:cs="Calibri"/>
      <w:sz w:val="22"/>
      <w:szCs w:val="22"/>
    </w:rPr>
  </w:style>
  <w:style w:type="paragraph" w:customStyle="1" w:styleId="Bodytext30">
    <w:name w:val="Body text (3)"/>
    <w:basedOn w:val="Normal"/>
    <w:link w:val="Bodytext3"/>
    <w:rsid w:val="00BE1CF9"/>
    <w:pPr>
      <w:spacing w:after="120"/>
      <w:jc w:val="center"/>
    </w:pPr>
    <w:rPr>
      <w:rFonts w:ascii="Georgia" w:eastAsia="Georgia" w:hAnsi="Georgia" w:cs="Georgia"/>
      <w:color w:val="1C1C1A"/>
    </w:rPr>
  </w:style>
  <w:style w:type="paragraph" w:customStyle="1" w:styleId="Headerorfooter0">
    <w:name w:val="Header or footer"/>
    <w:basedOn w:val="Normal"/>
    <w:link w:val="Headerorfooter"/>
    <w:rsid w:val="00BE1CF9"/>
    <w:pPr>
      <w:jc w:val="right"/>
    </w:pPr>
    <w:rPr>
      <w:rFonts w:ascii="Calibri" w:eastAsia="Calibri" w:hAnsi="Calibri" w:cs="Calibri"/>
      <w:color w:val="auto"/>
      <w:sz w:val="22"/>
      <w:szCs w:val="22"/>
    </w:rPr>
  </w:style>
  <w:style w:type="character" w:customStyle="1" w:styleId="BodyTextChar">
    <w:name w:val="Body Text Char"/>
    <w:basedOn w:val="DefaultParagraphFont"/>
    <w:link w:val="BodyText1"/>
    <w:rsid w:val="00BE1CF9"/>
    <w:rPr>
      <w:rFonts w:ascii="Times New Roman" w:eastAsia="Times New Roman" w:hAnsi="Times New Roman" w:cs="Times New Roman"/>
      <w:sz w:val="22"/>
      <w:szCs w:val="22"/>
    </w:rPr>
  </w:style>
  <w:style w:type="paragraph" w:styleId="BodyText1">
    <w:name w:val="Body Text"/>
    <w:basedOn w:val="Normal"/>
    <w:link w:val="BodyTextChar"/>
    <w:qFormat/>
    <w:rsid w:val="00BE1CF9"/>
    <w:pPr>
      <w:spacing w:after="200" w:line="360" w:lineRule="auto"/>
    </w:pPr>
    <w:rPr>
      <w:rFonts w:ascii="Times New Roman" w:eastAsia="Times New Roman" w:hAnsi="Times New Roman" w:cs="Times New Roman"/>
      <w:color w:val="auto"/>
      <w:sz w:val="22"/>
      <w:szCs w:val="22"/>
    </w:rPr>
  </w:style>
  <w:style w:type="character" w:customStyle="1" w:styleId="BodyTextChar1">
    <w:name w:val="Body Text Char1"/>
    <w:basedOn w:val="DefaultParagraphFont"/>
    <w:link w:val="BodyText1"/>
    <w:uiPriority w:val="99"/>
    <w:semiHidden/>
    <w:rsid w:val="00BE1CF9"/>
    <w:rPr>
      <w:color w:val="000000"/>
    </w:rPr>
  </w:style>
  <w:style w:type="character" w:customStyle="1" w:styleId="rynqvb">
    <w:name w:val="rynqvb"/>
    <w:basedOn w:val="DefaultParagraphFont"/>
    <w:rsid w:val="00BE1CF9"/>
  </w:style>
  <w:style w:type="paragraph" w:styleId="Header">
    <w:name w:val="header"/>
    <w:basedOn w:val="Normal"/>
    <w:link w:val="HeaderChar"/>
    <w:uiPriority w:val="99"/>
    <w:semiHidden/>
    <w:unhideWhenUsed/>
    <w:rsid w:val="00404294"/>
    <w:pPr>
      <w:tabs>
        <w:tab w:val="center" w:pos="4513"/>
        <w:tab w:val="right" w:pos="9026"/>
      </w:tabs>
    </w:pPr>
  </w:style>
  <w:style w:type="character" w:customStyle="1" w:styleId="HeaderChar">
    <w:name w:val="Header Char"/>
    <w:basedOn w:val="DefaultParagraphFont"/>
    <w:link w:val="Header"/>
    <w:uiPriority w:val="99"/>
    <w:semiHidden/>
    <w:rsid w:val="00404294"/>
    <w:rPr>
      <w:color w:val="000000"/>
    </w:rPr>
  </w:style>
  <w:style w:type="paragraph" w:styleId="Footer">
    <w:name w:val="footer"/>
    <w:basedOn w:val="Normal"/>
    <w:link w:val="FooterChar"/>
    <w:uiPriority w:val="99"/>
    <w:semiHidden/>
    <w:unhideWhenUsed/>
    <w:rsid w:val="00404294"/>
    <w:pPr>
      <w:tabs>
        <w:tab w:val="center" w:pos="4513"/>
        <w:tab w:val="right" w:pos="9026"/>
      </w:tabs>
    </w:pPr>
  </w:style>
  <w:style w:type="character" w:customStyle="1" w:styleId="FooterChar">
    <w:name w:val="Footer Char"/>
    <w:basedOn w:val="DefaultParagraphFont"/>
    <w:link w:val="Footer"/>
    <w:uiPriority w:val="99"/>
    <w:semiHidden/>
    <w:rsid w:val="00404294"/>
    <w:rPr>
      <w:color w:val="000000"/>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e.int/en/web/execution/submissions" TargetMode="External"/><Relationship Id="rId13" Type="http://schemas.openxmlformats.org/officeDocument/2006/relationships/image" Target="media/image3.jpeg"/><Relationship Id="rId18" Type="http://schemas.openxmlformats.org/officeDocument/2006/relationships/image" Target="media/image4.jpeg"/><Relationship Id="rId26" Type="http://schemas.openxmlformats.org/officeDocument/2006/relationships/image" Target="media/image8.jpeg"/><Relationship Id="rId3" Type="http://schemas.openxmlformats.org/officeDocument/2006/relationships/settings" Target="settings.xml"/><Relationship Id="rId21" Type="http://schemas.openxmlformats.org/officeDocument/2006/relationships/footer" Target="footer5.xml"/><Relationship Id="rId7" Type="http://schemas.openxmlformats.org/officeDocument/2006/relationships/image" Target="media/image1.jpeg"/><Relationship Id="rId12" Type="http://schemas.openxmlformats.org/officeDocument/2006/relationships/image" Target="media/image2.jpeg"/><Relationship Id="rId17" Type="http://schemas.openxmlformats.org/officeDocument/2006/relationships/footer" Target="footer4.xml"/><Relationship Id="rId25" Type="http://schemas.openxmlformats.org/officeDocument/2006/relationships/image" Target="media/image7.jpeg"/><Relationship Id="rId2" Type="http://schemas.openxmlformats.org/officeDocument/2006/relationships/styles" Target="styles.xml"/><Relationship Id="rId16" Type="http://schemas.openxmlformats.org/officeDocument/2006/relationships/footer" Target="footer3.xml"/><Relationship Id="rId20" Type="http://schemas.openxmlformats.org/officeDocument/2006/relationships/header" Target="header4.xml"/><Relationship Id="rId29" Type="http://schemas.openxmlformats.org/officeDocument/2006/relationships/footer" Target="footer7.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image" Target="media/image6.jpeg"/><Relationship Id="rId32"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eader" Target="header2.xml"/><Relationship Id="rId23" Type="http://schemas.openxmlformats.org/officeDocument/2006/relationships/image" Target="media/image5.jpeg"/><Relationship Id="rId28" Type="http://schemas.openxmlformats.org/officeDocument/2006/relationships/header" Target="header6.xml"/><Relationship Id="rId10" Type="http://schemas.openxmlformats.org/officeDocument/2006/relationships/footer" Target="footer1.xml"/><Relationship Id="rId19" Type="http://schemas.openxmlformats.org/officeDocument/2006/relationships/header" Target="header3.xml"/><Relationship Id="rId3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www.coe.int/en/web/execution/payment-information" TargetMode="External"/><Relationship Id="rId14" Type="http://schemas.openxmlformats.org/officeDocument/2006/relationships/header" Target="header1.xml"/><Relationship Id="rId22" Type="http://schemas.openxmlformats.org/officeDocument/2006/relationships/footer" Target="footer6.xml"/><Relationship Id="rId27" Type="http://schemas.openxmlformats.org/officeDocument/2006/relationships/header" Target="header5.xml"/><Relationship Id="rId30" Type="http://schemas.openxmlformats.org/officeDocument/2006/relationships/footer" Target="footer8.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62</TotalTime>
  <Pages>1</Pages>
  <Words>6662</Words>
  <Characters>36179</Characters>
  <Application>Microsoft Office Word</Application>
  <DocSecurity>0</DocSecurity>
  <Lines>927</Lines>
  <Paragraphs>369</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42472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Saip Ajvazi</dc:creator>
  <cp:keywords/>
  <cp:lastModifiedBy>Vladimir Bogdanovski</cp:lastModifiedBy>
  <cp:revision>27</cp:revision>
  <dcterms:created xsi:type="dcterms:W3CDTF">2025-04-24T11:55:00Z</dcterms:created>
  <dcterms:modified xsi:type="dcterms:W3CDTF">2025-04-25T07:44:00Z</dcterms:modified>
</cp:coreProperties>
</file>