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A0E3" w14:textId="77777777" w:rsidR="0098410D" w:rsidRPr="00996776" w:rsidRDefault="0098410D" w:rsidP="00A21C42">
      <w:pPr>
        <w:jc w:val="center"/>
        <w:rPr>
          <w:lang w:val="mk-MK"/>
        </w:rPr>
      </w:pPr>
    </w:p>
    <w:p w14:paraId="7E5BA431" w14:textId="77777777" w:rsidR="00D2328C" w:rsidRPr="00996776" w:rsidRDefault="00D2328C" w:rsidP="00D2328C">
      <w:pPr>
        <w:widowControl w:val="0"/>
        <w:autoSpaceDE w:val="0"/>
        <w:autoSpaceDN w:val="0"/>
        <w:spacing w:before="89" w:line="420" w:lineRule="auto"/>
        <w:ind w:left="2700" w:right="2760"/>
        <w:jc w:val="center"/>
        <w:outlineLvl w:val="0"/>
        <w:rPr>
          <w:rFonts w:ascii="Times New Roman" w:eastAsia="Times New Roman" w:hAnsi="Times New Roman" w:cs="Times New Roman"/>
          <w:spacing w:val="-67"/>
          <w:sz w:val="28"/>
          <w:szCs w:val="28"/>
          <w:lang w:val="mk-MK"/>
        </w:rPr>
      </w:pPr>
      <w:r w:rsidRPr="00996776">
        <w:rPr>
          <w:rFonts w:ascii="Times New Roman" w:eastAsia="Times New Roman" w:hAnsi="Times New Roman" w:cs="Times New Roman"/>
          <w:sz w:val="28"/>
          <w:szCs w:val="28"/>
          <w:lang w:val="mk-MK"/>
        </w:rPr>
        <w:t xml:space="preserve">ВТОР ОДДЕЛ </w:t>
      </w:r>
      <w:r w:rsidRPr="00996776">
        <w:rPr>
          <w:rFonts w:ascii="Times New Roman" w:eastAsia="Times New Roman" w:hAnsi="Times New Roman" w:cs="Times New Roman"/>
          <w:spacing w:val="-67"/>
          <w:sz w:val="28"/>
          <w:szCs w:val="28"/>
          <w:lang w:val="mk-MK"/>
        </w:rPr>
        <w:t xml:space="preserve"> </w:t>
      </w:r>
    </w:p>
    <w:p w14:paraId="73C39E12" w14:textId="0B243297" w:rsidR="008E6217" w:rsidRPr="00996776" w:rsidRDefault="00D2328C" w:rsidP="00A21C42">
      <w:pPr>
        <w:pStyle w:val="JuTitle"/>
        <w:keepNext w:val="0"/>
        <w:keepLines w:val="0"/>
        <w:rPr>
          <w:lang w:val="mk-MK"/>
        </w:rPr>
      </w:pPr>
      <w:r w:rsidRPr="00996776">
        <w:rPr>
          <w:color w:val="000000" w:themeColor="text1"/>
          <w:lang w:val="mk-MK"/>
        </w:rPr>
        <w:t xml:space="preserve">СЛУЧАЈ </w:t>
      </w:r>
      <w:r w:rsidRPr="00996776">
        <w:rPr>
          <w:lang w:val="mk-MK"/>
        </w:rPr>
        <w:t>К</w:t>
      </w:r>
      <w:r w:rsidR="00795EF7" w:rsidRPr="00996776">
        <w:rPr>
          <w:lang w:val="mk-MK"/>
        </w:rPr>
        <w:t>.</w:t>
      </w:r>
      <w:r w:rsidRPr="00996776">
        <w:rPr>
          <w:lang w:val="mk-MK"/>
        </w:rPr>
        <w:t>М</w:t>
      </w:r>
      <w:r w:rsidR="00795EF7" w:rsidRPr="00996776">
        <w:rPr>
          <w:lang w:val="mk-MK"/>
        </w:rPr>
        <w:t xml:space="preserve">. </w:t>
      </w:r>
      <w:r w:rsidRPr="00996776">
        <w:rPr>
          <w:lang w:val="mk-MK"/>
        </w:rPr>
        <w:t>против СЕВЕРНА МАКЕДОНИЈА</w:t>
      </w:r>
    </w:p>
    <w:p w14:paraId="32940FFA" w14:textId="148FE06B" w:rsidR="00D74888" w:rsidRPr="00996776" w:rsidRDefault="00000000" w:rsidP="00A21C42">
      <w:pPr>
        <w:pStyle w:val="ECHRCoverTitle4"/>
        <w:keepNext w:val="0"/>
        <w:keepLines w:val="0"/>
        <w:rPr>
          <w:lang w:val="mk-MK"/>
        </w:rPr>
      </w:pPr>
      <w:r w:rsidRPr="00996776">
        <w:rPr>
          <w:lang w:val="mk-MK"/>
        </w:rPr>
        <w:t>(</w:t>
      </w:r>
      <w:r w:rsidR="00D2328C" w:rsidRPr="00996776">
        <w:rPr>
          <w:lang w:val="mk-MK"/>
        </w:rPr>
        <w:t>Апликација бр</w:t>
      </w:r>
      <w:r w:rsidR="00795EF7" w:rsidRPr="00996776">
        <w:rPr>
          <w:lang w:val="mk-MK"/>
        </w:rPr>
        <w:t>.</w:t>
      </w:r>
      <w:r w:rsidRPr="00996776">
        <w:rPr>
          <w:lang w:val="mk-MK"/>
        </w:rPr>
        <w:t xml:space="preserve"> </w:t>
      </w:r>
      <w:r w:rsidR="00795EF7" w:rsidRPr="00996776">
        <w:rPr>
          <w:lang w:val="mk-MK"/>
        </w:rPr>
        <w:t>59144/16</w:t>
      </w:r>
      <w:r w:rsidRPr="00996776">
        <w:rPr>
          <w:lang w:val="mk-MK"/>
        </w:rPr>
        <w:t>)</w:t>
      </w:r>
    </w:p>
    <w:p w14:paraId="7535C8E7" w14:textId="77777777" w:rsidR="0098410D" w:rsidRPr="00996776" w:rsidRDefault="0098410D" w:rsidP="00A21C42">
      <w:pPr>
        <w:pStyle w:val="DecHCase"/>
        <w:keepNext w:val="0"/>
        <w:keepLines w:val="0"/>
        <w:rPr>
          <w:lang w:val="mk-MK"/>
        </w:rPr>
      </w:pPr>
    </w:p>
    <w:p w14:paraId="2B693304" w14:textId="77777777" w:rsidR="00AC4CD4" w:rsidRPr="00996776" w:rsidRDefault="00AC4CD4" w:rsidP="00A21C42">
      <w:pPr>
        <w:pStyle w:val="DecHCase"/>
        <w:keepNext w:val="0"/>
        <w:keepLines w:val="0"/>
        <w:rPr>
          <w:lang w:val="mk-MK"/>
        </w:rPr>
      </w:pPr>
    </w:p>
    <w:p w14:paraId="648CEEA6" w14:textId="77777777" w:rsidR="00A21C42" w:rsidRPr="00996776" w:rsidRDefault="00A21C42" w:rsidP="00D2328C">
      <w:pPr>
        <w:pStyle w:val="DecHCase"/>
        <w:keepNext w:val="0"/>
        <w:keepLines w:val="0"/>
        <w:jc w:val="left"/>
        <w:rPr>
          <w:lang w:val="mk-MK"/>
        </w:rPr>
      </w:pPr>
    </w:p>
    <w:p w14:paraId="0DAC3FA8" w14:textId="77777777" w:rsidR="00A21C42" w:rsidRPr="00996776" w:rsidRDefault="00A21C42" w:rsidP="00A21C42">
      <w:pPr>
        <w:pStyle w:val="DecHCase"/>
        <w:keepNext w:val="0"/>
        <w:keepLines w:val="0"/>
        <w:rPr>
          <w:lang w:val="mk-MK"/>
        </w:rPr>
      </w:pPr>
    </w:p>
    <w:p w14:paraId="2412D258" w14:textId="13F42540" w:rsidR="0098410D" w:rsidRPr="00996776" w:rsidRDefault="00D2328C" w:rsidP="00A21C42">
      <w:pPr>
        <w:pStyle w:val="DecHCase"/>
        <w:keepNext w:val="0"/>
        <w:keepLines w:val="0"/>
        <w:rPr>
          <w:lang w:val="mk-MK"/>
        </w:rPr>
      </w:pPr>
      <w:r w:rsidRPr="00996776">
        <w:rPr>
          <w:lang w:val="mk-MK"/>
        </w:rPr>
        <w:t>ПРЕСУДА</w:t>
      </w:r>
    </w:p>
    <w:p w14:paraId="355AEE4C" w14:textId="675C2FEF" w:rsidR="00A21C42" w:rsidRPr="00996776" w:rsidRDefault="00D2328C" w:rsidP="00D2328C">
      <w:pPr>
        <w:pBdr>
          <w:top w:val="single" w:sz="4" w:space="1" w:color="auto"/>
          <w:left w:val="single" w:sz="4" w:space="4" w:color="auto"/>
          <w:bottom w:val="single" w:sz="4" w:space="1" w:color="auto"/>
          <w:right w:val="single" w:sz="4" w:space="4" w:color="auto"/>
        </w:pBdr>
        <w:jc w:val="both"/>
        <w:rPr>
          <w:lang w:val="mk-MK"/>
        </w:rPr>
      </w:pPr>
      <w:r w:rsidRPr="00996776">
        <w:rPr>
          <w:lang w:val="mk-MK"/>
        </w:rPr>
        <w:t xml:space="preserve">Член 8 • Позитивни обврски • Неуспех да се заштити четиринаесетгодишно девојче од </w:t>
      </w:r>
      <w:r w:rsidR="0044064F">
        <w:rPr>
          <w:lang w:val="mk-MK"/>
        </w:rPr>
        <w:t>полова</w:t>
      </w:r>
      <w:r w:rsidRPr="00996776">
        <w:rPr>
          <w:lang w:val="mk-MK"/>
        </w:rPr>
        <w:t xml:space="preserve"> злоупотреба • Домашната правна рамка, како што ја применуваат домашните власти, не овозможи ефикасна заштита</w:t>
      </w:r>
    </w:p>
    <w:p w14:paraId="7706EF3F" w14:textId="77777777" w:rsidR="00D2328C" w:rsidRPr="00996776" w:rsidRDefault="00D2328C" w:rsidP="00A21C42">
      <w:pPr>
        <w:pBdr>
          <w:top w:val="single" w:sz="4" w:space="1" w:color="auto"/>
          <w:left w:val="single" w:sz="4" w:space="4" w:color="auto"/>
          <w:bottom w:val="single" w:sz="4" w:space="1" w:color="auto"/>
          <w:right w:val="single" w:sz="4" w:space="4" w:color="auto"/>
        </w:pBdr>
        <w:jc w:val="center"/>
        <w:rPr>
          <w:sz w:val="20"/>
          <w:szCs w:val="20"/>
          <w:lang w:val="mk-MK"/>
        </w:rPr>
      </w:pPr>
    </w:p>
    <w:p w14:paraId="7C74A549" w14:textId="5C44BF19" w:rsidR="00A21C42" w:rsidRPr="00996776" w:rsidRDefault="00D2328C" w:rsidP="00A21C42">
      <w:pPr>
        <w:pBdr>
          <w:top w:val="single" w:sz="4" w:space="1" w:color="auto"/>
          <w:left w:val="single" w:sz="4" w:space="4" w:color="auto"/>
          <w:bottom w:val="single" w:sz="4" w:space="1" w:color="auto"/>
          <w:right w:val="single" w:sz="4" w:space="4" w:color="auto"/>
        </w:pBdr>
        <w:jc w:val="center"/>
        <w:rPr>
          <w:sz w:val="20"/>
          <w:szCs w:val="20"/>
          <w:lang w:val="mk-MK"/>
        </w:rPr>
      </w:pPr>
      <w:r w:rsidRPr="00996776">
        <w:rPr>
          <w:sz w:val="20"/>
          <w:szCs w:val="20"/>
          <w:lang w:val="mk-MK"/>
        </w:rPr>
        <w:t>Подготвено од одделот. Не го обврзува Судот.</w:t>
      </w:r>
    </w:p>
    <w:p w14:paraId="21F5D865" w14:textId="77777777" w:rsidR="00A420A9" w:rsidRPr="00996776" w:rsidRDefault="00A420A9" w:rsidP="00A21C42">
      <w:pPr>
        <w:pStyle w:val="DecHCase"/>
        <w:keepNext w:val="0"/>
        <w:keepLines w:val="0"/>
        <w:rPr>
          <w:lang w:val="mk-MK"/>
        </w:rPr>
      </w:pPr>
    </w:p>
    <w:p w14:paraId="29878EF8" w14:textId="49012CF9" w:rsidR="00D2328C" w:rsidRPr="00996776" w:rsidRDefault="00D2328C" w:rsidP="00A21C42">
      <w:pPr>
        <w:pStyle w:val="DecHCase"/>
        <w:keepNext w:val="0"/>
        <w:keepLines w:val="0"/>
        <w:rPr>
          <w:lang w:val="mk-MK"/>
        </w:rPr>
      </w:pPr>
      <w:r w:rsidRPr="00996776">
        <w:rPr>
          <w:lang w:val="mk-MK"/>
        </w:rPr>
        <w:t>С</w:t>
      </w:r>
      <w:r w:rsidR="00DA0A65">
        <w:rPr>
          <w:lang w:val="en-US"/>
        </w:rPr>
        <w:t>T</w:t>
      </w:r>
      <w:r w:rsidRPr="00996776">
        <w:rPr>
          <w:lang w:val="mk-MK"/>
        </w:rPr>
        <w:t>РАЗБУР</w:t>
      </w:r>
    </w:p>
    <w:p w14:paraId="6C552C8B" w14:textId="4A64FB03" w:rsidR="0098410D" w:rsidRPr="00996776" w:rsidRDefault="00000000" w:rsidP="00A21C42">
      <w:pPr>
        <w:pStyle w:val="DecHCase"/>
        <w:keepNext w:val="0"/>
        <w:keepLines w:val="0"/>
        <w:rPr>
          <w:lang w:val="mk-MK"/>
        </w:rPr>
      </w:pPr>
      <w:r w:rsidRPr="00996776">
        <w:rPr>
          <w:rFonts w:ascii="Times New Roman" w:hAnsi="Times New Roman" w:cs="Times New Roman"/>
          <w:lang w:val="mk-MK"/>
        </w:rPr>
        <w:t xml:space="preserve">4 </w:t>
      </w:r>
      <w:r w:rsidR="00D2328C" w:rsidRPr="00996776">
        <w:rPr>
          <w:rFonts w:ascii="Times New Roman" w:hAnsi="Times New Roman" w:cs="Times New Roman"/>
          <w:lang w:val="mk-MK"/>
        </w:rPr>
        <w:t>март</w:t>
      </w:r>
      <w:r w:rsidRPr="00996776">
        <w:rPr>
          <w:rFonts w:ascii="Times New Roman" w:hAnsi="Times New Roman" w:cs="Times New Roman"/>
          <w:lang w:val="mk-MK"/>
        </w:rPr>
        <w:t xml:space="preserve"> 2025</w:t>
      </w:r>
      <w:r w:rsidR="00D2328C" w:rsidRPr="00996776">
        <w:rPr>
          <w:rFonts w:ascii="Times New Roman" w:hAnsi="Times New Roman" w:cs="Times New Roman"/>
          <w:lang w:val="mk-MK"/>
        </w:rPr>
        <w:t xml:space="preserve"> година</w:t>
      </w:r>
    </w:p>
    <w:p w14:paraId="1A9AC9CF" w14:textId="77777777" w:rsidR="00AC4CD4" w:rsidRPr="00996776" w:rsidRDefault="00AC4CD4" w:rsidP="00A21C42">
      <w:pPr>
        <w:pStyle w:val="JuPara"/>
        <w:rPr>
          <w:lang w:val="mk-MK"/>
        </w:rPr>
      </w:pPr>
    </w:p>
    <w:p w14:paraId="3F3CC0AC" w14:textId="0B1A1080" w:rsidR="002422B6" w:rsidRPr="00996776" w:rsidRDefault="00D2328C" w:rsidP="00A21C42">
      <w:pPr>
        <w:rPr>
          <w:i/>
          <w:sz w:val="22"/>
          <w:lang w:val="mk-MK"/>
        </w:rPr>
      </w:pPr>
      <w:r w:rsidRPr="00996776">
        <w:rPr>
          <w:i/>
          <w:sz w:val="22"/>
          <w:lang w:val="mk-MK"/>
        </w:rPr>
        <w:t>Оваа пресуда ќе стане конечна под условите утврдени во член 44 став 2 од Конвенцијата. Истата може да биде предмет на редакциски измени.</w:t>
      </w:r>
    </w:p>
    <w:p w14:paraId="18B86259" w14:textId="77777777" w:rsidR="0098410D" w:rsidRPr="00996776" w:rsidRDefault="0098410D" w:rsidP="00A21C42">
      <w:pPr>
        <w:rPr>
          <w:lang w:val="mk-MK"/>
        </w:rPr>
        <w:sectPr w:rsidR="0098410D" w:rsidRPr="00996776"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74A1BE54" w14:textId="5A95628D" w:rsidR="0098410D" w:rsidRPr="00996776" w:rsidRDefault="00D2328C" w:rsidP="00A21C42">
      <w:pPr>
        <w:pStyle w:val="JuCase"/>
        <w:rPr>
          <w:lang w:val="mk-MK"/>
        </w:rPr>
      </w:pPr>
      <w:r w:rsidRPr="00996776">
        <w:rPr>
          <w:lang w:val="mk-MK"/>
        </w:rPr>
        <w:lastRenderedPageBreak/>
        <w:t>Во случајот К.М. против Северна Македонија,</w:t>
      </w:r>
    </w:p>
    <w:p w14:paraId="7C0FA016" w14:textId="72DA1591" w:rsidR="009F4C8F" w:rsidRPr="00996776" w:rsidRDefault="00D2328C" w:rsidP="00A21C42">
      <w:pPr>
        <w:pStyle w:val="JuPara"/>
        <w:rPr>
          <w:lang w:val="mk-MK"/>
        </w:rPr>
      </w:pPr>
      <w:r w:rsidRPr="00996776">
        <w:rPr>
          <w:lang w:val="mk-MK"/>
        </w:rPr>
        <w:t>Европскиот Суд за човекови права (Втор Оддел), заседавајќи во Совет составен од:</w:t>
      </w:r>
    </w:p>
    <w:p w14:paraId="7E7D6AB1" w14:textId="211B975D" w:rsidR="00A92625" w:rsidRPr="00996776" w:rsidRDefault="00000000" w:rsidP="00A21C42">
      <w:pPr>
        <w:pStyle w:val="JuJudges"/>
        <w:rPr>
          <w:lang w:val="mk-MK"/>
        </w:rPr>
      </w:pPr>
      <w:r w:rsidRPr="00996776">
        <w:rPr>
          <w:lang w:val="mk-MK"/>
        </w:rPr>
        <w:tab/>
        <w:t>Arnfinn Bårdsen</w:t>
      </w:r>
      <w:r w:rsidRPr="00996776">
        <w:rPr>
          <w:i/>
          <w:lang w:val="mk-MK"/>
        </w:rPr>
        <w:t xml:space="preserve">, </w:t>
      </w:r>
      <w:r w:rsidR="00D2328C" w:rsidRPr="00996776">
        <w:rPr>
          <w:i/>
          <w:lang w:val="mk-MK"/>
        </w:rPr>
        <w:t>Претседател</w:t>
      </w:r>
      <w:r w:rsidRPr="00996776">
        <w:rPr>
          <w:lang w:val="mk-MK"/>
        </w:rPr>
        <w:t>,</w:t>
      </w:r>
      <w:r w:rsidRPr="00996776">
        <w:rPr>
          <w:lang w:val="mk-MK"/>
        </w:rPr>
        <w:br/>
      </w:r>
      <w:r w:rsidRPr="00996776">
        <w:rPr>
          <w:lang w:val="mk-MK"/>
        </w:rPr>
        <w:tab/>
        <w:t>Saadet Yüksel,</w:t>
      </w:r>
      <w:r w:rsidRPr="00996776">
        <w:rPr>
          <w:lang w:val="mk-MK"/>
        </w:rPr>
        <w:br/>
      </w:r>
      <w:r w:rsidRPr="00996776">
        <w:rPr>
          <w:lang w:val="mk-MK"/>
        </w:rPr>
        <w:tab/>
        <w:t>Jovan Ilievski,</w:t>
      </w:r>
      <w:r w:rsidRPr="00996776">
        <w:rPr>
          <w:lang w:val="mk-MK"/>
        </w:rPr>
        <w:br/>
      </w:r>
      <w:r w:rsidRPr="00996776">
        <w:rPr>
          <w:lang w:val="mk-MK"/>
        </w:rPr>
        <w:tab/>
        <w:t>Anja Seibert-Fohr,</w:t>
      </w:r>
      <w:r w:rsidRPr="00996776">
        <w:rPr>
          <w:lang w:val="mk-MK"/>
        </w:rPr>
        <w:br/>
      </w:r>
      <w:r w:rsidRPr="00996776">
        <w:rPr>
          <w:lang w:val="mk-MK"/>
        </w:rPr>
        <w:tab/>
        <w:t>Davor Derenčinović,</w:t>
      </w:r>
      <w:r w:rsidRPr="00996776">
        <w:rPr>
          <w:lang w:val="mk-MK"/>
        </w:rPr>
        <w:br/>
      </w:r>
      <w:r w:rsidRPr="00996776">
        <w:rPr>
          <w:lang w:val="mk-MK"/>
        </w:rPr>
        <w:tab/>
        <w:t>Stéphane Pisani,</w:t>
      </w:r>
      <w:r w:rsidRPr="00996776">
        <w:rPr>
          <w:lang w:val="mk-MK"/>
        </w:rPr>
        <w:br/>
      </w:r>
      <w:r w:rsidRPr="00996776">
        <w:rPr>
          <w:lang w:val="mk-MK"/>
        </w:rPr>
        <w:tab/>
        <w:t>Juha Lavapuro</w:t>
      </w:r>
      <w:r w:rsidRPr="00996776">
        <w:rPr>
          <w:i/>
          <w:lang w:val="mk-MK"/>
        </w:rPr>
        <w:t xml:space="preserve">, </w:t>
      </w:r>
      <w:r w:rsidR="00D2328C" w:rsidRPr="00996776">
        <w:rPr>
          <w:i/>
          <w:lang w:val="mk-MK"/>
        </w:rPr>
        <w:t>судии</w:t>
      </w:r>
      <w:r w:rsidRPr="00996776">
        <w:rPr>
          <w:lang w:val="mk-MK"/>
        </w:rPr>
        <w:t>,</w:t>
      </w:r>
      <w:r w:rsidR="009F4C8F" w:rsidRPr="00996776">
        <w:rPr>
          <w:lang w:val="mk-MK"/>
        </w:rPr>
        <w:br/>
      </w:r>
      <w:r w:rsidR="00D2328C" w:rsidRPr="00996776">
        <w:rPr>
          <w:lang w:val="mk-MK"/>
        </w:rPr>
        <w:t>и</w:t>
      </w:r>
      <w:r w:rsidR="005C2C62" w:rsidRPr="00996776">
        <w:rPr>
          <w:lang w:val="mk-MK"/>
        </w:rPr>
        <w:t xml:space="preserve"> </w:t>
      </w:r>
      <w:r w:rsidR="00795EF7" w:rsidRPr="00996776">
        <w:rPr>
          <w:lang w:val="mk-MK"/>
        </w:rPr>
        <w:t>Hasan Bakırcı</w:t>
      </w:r>
      <w:r w:rsidRPr="00996776">
        <w:rPr>
          <w:lang w:val="mk-MK"/>
        </w:rPr>
        <w:t xml:space="preserve">, </w:t>
      </w:r>
      <w:r w:rsidR="00D2328C" w:rsidRPr="00996776">
        <w:rPr>
          <w:i/>
          <w:lang w:val="mk-MK"/>
        </w:rPr>
        <w:t>Секретар на одделот</w:t>
      </w:r>
      <w:r w:rsidR="008F2465" w:rsidRPr="00996776">
        <w:rPr>
          <w:i/>
          <w:lang w:val="mk-MK"/>
        </w:rPr>
        <w:t>,</w:t>
      </w:r>
    </w:p>
    <w:p w14:paraId="2C730E80" w14:textId="5632C48C" w:rsidR="00795EF7" w:rsidRPr="00996776" w:rsidRDefault="00D2328C" w:rsidP="00A21C42">
      <w:pPr>
        <w:pStyle w:val="JuPara"/>
        <w:rPr>
          <w:lang w:val="mk-MK"/>
        </w:rPr>
      </w:pPr>
      <w:r w:rsidRPr="00996776">
        <w:rPr>
          <w:lang w:val="mk-MK"/>
        </w:rPr>
        <w:t>Имајќи ги предвид:</w:t>
      </w:r>
    </w:p>
    <w:p w14:paraId="00D94C35" w14:textId="0E599ACB" w:rsidR="00D2328C" w:rsidRPr="00996776" w:rsidRDefault="00D2328C" w:rsidP="00A21C42">
      <w:pPr>
        <w:pStyle w:val="JuPara"/>
        <w:rPr>
          <w:lang w:val="mk-MK"/>
        </w:rPr>
      </w:pPr>
      <w:r w:rsidRPr="00996776">
        <w:rPr>
          <w:lang w:val="mk-MK"/>
        </w:rPr>
        <w:t>апликацијата (бр. 59144/16 ) против Република Северна Македонија поднесена до Судот согласно член 34 од Конвенцијата за заштита на човековите права и основните слободи („Конвенцијата“) од Македонец/граѓанин на Република Северна Македонија, Г-а К.М. („</w:t>
      </w:r>
      <w:r w:rsidR="0044064F">
        <w:rPr>
          <w:lang w:val="mk-MK"/>
        </w:rPr>
        <w:t>Апликантката</w:t>
      </w:r>
      <w:r w:rsidRPr="00996776">
        <w:rPr>
          <w:lang w:val="mk-MK"/>
        </w:rPr>
        <w:t>“), на 7 октомври 2016 година;</w:t>
      </w:r>
    </w:p>
    <w:p w14:paraId="7CB06E48" w14:textId="385E6521" w:rsidR="00795EF7" w:rsidRPr="00996776" w:rsidRDefault="008C1A64" w:rsidP="00A21C42">
      <w:pPr>
        <w:pStyle w:val="JuPara"/>
        <w:rPr>
          <w:lang w:val="mk-MK"/>
        </w:rPr>
      </w:pPr>
      <w:r w:rsidRPr="00996776">
        <w:rPr>
          <w:lang w:val="mk-MK"/>
        </w:rPr>
        <w:t xml:space="preserve">одлуката да се извести Владата на Северна Македонија („Владата“) за жалбeните наводи во врска со недостатокот на правна заштита на физичкиот и психолошкиот интегритет на </w:t>
      </w:r>
      <w:r w:rsidR="0044064F">
        <w:rPr>
          <w:lang w:val="mk-MK"/>
        </w:rPr>
        <w:t>апликантката</w:t>
      </w:r>
      <w:r w:rsidRPr="00996776">
        <w:rPr>
          <w:lang w:val="mk-MK"/>
        </w:rPr>
        <w:t xml:space="preserve"> и да го прогласат за недопуштен остатокот од апликацијата;</w:t>
      </w:r>
    </w:p>
    <w:p w14:paraId="1783A83C" w14:textId="5EEFEB2A" w:rsidR="00795EF7" w:rsidRPr="00996776" w:rsidRDefault="008C1A64" w:rsidP="00A21C42">
      <w:pPr>
        <w:pStyle w:val="JuPara"/>
        <w:rPr>
          <w:lang w:val="mk-MK"/>
        </w:rPr>
      </w:pPr>
      <w:r w:rsidRPr="00996776">
        <w:rPr>
          <w:lang w:val="mk-MK"/>
        </w:rPr>
        <w:t xml:space="preserve">одлуката да не се открие името на </w:t>
      </w:r>
      <w:r w:rsidR="0044064F">
        <w:rPr>
          <w:lang w:val="mk-MK"/>
        </w:rPr>
        <w:t>апликантката</w:t>
      </w:r>
      <w:r w:rsidRPr="00996776">
        <w:rPr>
          <w:lang w:val="mk-MK"/>
        </w:rPr>
        <w:t>;</w:t>
      </w:r>
    </w:p>
    <w:p w14:paraId="30D9C4D0" w14:textId="0CD4BB80" w:rsidR="00795EF7" w:rsidRPr="00996776" w:rsidRDefault="008C1A64" w:rsidP="00A21C42">
      <w:pPr>
        <w:pStyle w:val="JuPara"/>
        <w:rPr>
          <w:lang w:val="mk-MK"/>
        </w:rPr>
      </w:pPr>
      <w:r w:rsidRPr="00996776">
        <w:rPr>
          <w:lang w:val="mk-MK"/>
        </w:rPr>
        <w:t>опсервациите на апликантите;</w:t>
      </w:r>
    </w:p>
    <w:p w14:paraId="2D603030" w14:textId="73A9DBC7" w:rsidR="009F4C8F" w:rsidRPr="00996776" w:rsidRDefault="008C1A64" w:rsidP="00A21C42">
      <w:pPr>
        <w:pStyle w:val="JuPara"/>
        <w:rPr>
          <w:lang w:val="mk-MK"/>
        </w:rPr>
      </w:pPr>
      <w:r w:rsidRPr="00996776">
        <w:rPr>
          <w:lang w:val="mk-MK"/>
        </w:rPr>
        <w:t xml:space="preserve">Расправајќи на нејавна седница на </w:t>
      </w:r>
      <w:r w:rsidR="00795EF7" w:rsidRPr="00996776">
        <w:rPr>
          <w:lang w:val="mk-MK"/>
        </w:rPr>
        <w:t xml:space="preserve">4 </w:t>
      </w:r>
      <w:r w:rsidRPr="00996776">
        <w:rPr>
          <w:lang w:val="mk-MK"/>
        </w:rPr>
        <w:t>февруари</w:t>
      </w:r>
      <w:r w:rsidR="00795EF7" w:rsidRPr="00996776">
        <w:rPr>
          <w:lang w:val="mk-MK"/>
        </w:rPr>
        <w:t xml:space="preserve"> 2025</w:t>
      </w:r>
      <w:r w:rsidRPr="00996776">
        <w:rPr>
          <w:lang w:val="mk-MK"/>
        </w:rPr>
        <w:t xml:space="preserve"> година,</w:t>
      </w:r>
    </w:p>
    <w:p w14:paraId="5E2565FF" w14:textId="4BFFE383" w:rsidR="009F4C8F" w:rsidRPr="00996776" w:rsidRDefault="008C1A64" w:rsidP="00A21C42">
      <w:pPr>
        <w:pStyle w:val="JuPara"/>
        <w:rPr>
          <w:lang w:val="mk-MK"/>
        </w:rPr>
      </w:pPr>
      <w:r w:rsidRPr="00996776">
        <w:rPr>
          <w:lang w:val="mk-MK"/>
        </w:rPr>
        <w:t>Ја донесе следнава пресуда, која беше усвоена на истиот датум:</w:t>
      </w:r>
    </w:p>
    <w:p w14:paraId="5BC6C931" w14:textId="0B39155C" w:rsidR="00795EF7" w:rsidRPr="00996776" w:rsidRDefault="008C1A64" w:rsidP="00A21C42">
      <w:pPr>
        <w:pStyle w:val="JuHHead"/>
        <w:numPr>
          <w:ilvl w:val="0"/>
          <w:numId w:val="0"/>
        </w:numPr>
        <w:rPr>
          <w:lang w:val="mk-MK"/>
        </w:rPr>
      </w:pPr>
      <w:r w:rsidRPr="00996776">
        <w:rPr>
          <w:lang w:val="mk-MK"/>
        </w:rPr>
        <w:t>ВОВЕД</w:t>
      </w:r>
    </w:p>
    <w:p w14:paraId="742149AB" w14:textId="46EEDFEA"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1</w:t>
      </w:r>
      <w:r w:rsidRPr="00996776">
        <w:rPr>
          <w:noProof/>
          <w:lang w:val="mk-MK"/>
        </w:rPr>
        <w:fldChar w:fldCharType="end"/>
      </w:r>
      <w:r w:rsidRPr="00996776">
        <w:rPr>
          <w:lang w:val="mk-MK"/>
        </w:rPr>
        <w:t>.  </w:t>
      </w:r>
      <w:r w:rsidR="008C1A64" w:rsidRPr="00996776">
        <w:rPr>
          <w:lang w:val="mk-MK"/>
        </w:rPr>
        <w:t xml:space="preserve">Случајот се однесува на наводниот неуспех на тужената држава да ја заштити апликантката, </w:t>
      </w:r>
      <w:r w:rsidR="00BA6582">
        <w:rPr>
          <w:lang w:val="mk-MK"/>
        </w:rPr>
        <w:t xml:space="preserve">која во моментот била </w:t>
      </w:r>
      <w:r w:rsidR="008C1A64" w:rsidRPr="00996776">
        <w:rPr>
          <w:lang w:val="mk-MK"/>
        </w:rPr>
        <w:t xml:space="preserve">четиринаесетгодишно девојче, од </w:t>
      </w:r>
      <w:r w:rsidR="009D00E1">
        <w:rPr>
          <w:lang w:val="mk-MK"/>
        </w:rPr>
        <w:t>сексуална</w:t>
      </w:r>
      <w:r w:rsidR="008C1A64" w:rsidRPr="00996776">
        <w:rPr>
          <w:lang w:val="mk-MK"/>
        </w:rPr>
        <w:t xml:space="preserve"> злоупотреба поврзана со инцидент во кој возрасен човек, наводно, ја галел по ногата и ги допирал нејзините гради и рамена</w:t>
      </w:r>
      <w:r w:rsidRPr="00996776">
        <w:rPr>
          <w:lang w:val="mk-MK"/>
        </w:rPr>
        <w:t>.</w:t>
      </w:r>
    </w:p>
    <w:p w14:paraId="3C142267" w14:textId="15BA35D6" w:rsidR="00795EF7" w:rsidRPr="00996776" w:rsidRDefault="008C1A64" w:rsidP="00A21C42">
      <w:pPr>
        <w:pStyle w:val="JuHHead"/>
        <w:rPr>
          <w:lang w:val="mk-MK"/>
        </w:rPr>
      </w:pPr>
      <w:r w:rsidRPr="00996776">
        <w:rPr>
          <w:lang w:val="mk-MK"/>
        </w:rPr>
        <w:t>ФАКТИ</w:t>
      </w:r>
    </w:p>
    <w:p w14:paraId="6B7897DE" w14:textId="5510FB7C"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2</w:t>
      </w:r>
      <w:r w:rsidRPr="00996776">
        <w:rPr>
          <w:noProof/>
          <w:lang w:val="mk-MK"/>
        </w:rPr>
        <w:fldChar w:fldCharType="end"/>
      </w:r>
      <w:r w:rsidRPr="00996776">
        <w:rPr>
          <w:lang w:val="mk-MK"/>
        </w:rPr>
        <w:t>.  </w:t>
      </w:r>
      <w:r w:rsidR="008C1A64" w:rsidRPr="00996776">
        <w:rPr>
          <w:lang w:val="mk-MK"/>
        </w:rPr>
        <w:t>Апликант</w:t>
      </w:r>
      <w:r w:rsidR="006A7D65" w:rsidRPr="00996776">
        <w:rPr>
          <w:lang w:val="mk-MK"/>
        </w:rPr>
        <w:t>ката</w:t>
      </w:r>
      <w:r w:rsidR="008C1A64" w:rsidRPr="00996776">
        <w:rPr>
          <w:lang w:val="mk-MK"/>
        </w:rPr>
        <w:t xml:space="preserve"> е роден</w:t>
      </w:r>
      <w:r w:rsidR="009D00E1">
        <w:rPr>
          <w:lang w:val="mk-MK"/>
        </w:rPr>
        <w:t>а</w:t>
      </w:r>
      <w:r w:rsidR="008C1A64" w:rsidRPr="00996776">
        <w:rPr>
          <w:lang w:val="mk-MK"/>
        </w:rPr>
        <w:t xml:space="preserve"> на</w:t>
      </w:r>
      <w:r w:rsidRPr="00996776">
        <w:rPr>
          <w:lang w:val="mk-MK"/>
        </w:rPr>
        <w:t xml:space="preserve"> 19 </w:t>
      </w:r>
      <w:r w:rsidR="008C1A64" w:rsidRPr="00996776">
        <w:rPr>
          <w:lang w:val="mk-MK"/>
        </w:rPr>
        <w:t>август</w:t>
      </w:r>
      <w:r w:rsidRPr="00996776">
        <w:rPr>
          <w:lang w:val="mk-MK"/>
        </w:rPr>
        <w:t xml:space="preserve"> 1999</w:t>
      </w:r>
      <w:r w:rsidR="008C1A64" w:rsidRPr="00996776">
        <w:rPr>
          <w:lang w:val="mk-MK"/>
        </w:rPr>
        <w:t xml:space="preserve"> година</w:t>
      </w:r>
      <w:r w:rsidRPr="00996776">
        <w:rPr>
          <w:lang w:val="mk-MK"/>
        </w:rPr>
        <w:t xml:space="preserve">. </w:t>
      </w:r>
      <w:r w:rsidR="008C1A64" w:rsidRPr="00996776">
        <w:rPr>
          <w:lang w:val="mk-MK"/>
        </w:rPr>
        <w:t xml:space="preserve">Таа беше застапувана од г-дин З. Стојановски, адвокат </w:t>
      </w:r>
      <w:r w:rsidR="006A7D65" w:rsidRPr="00996776">
        <w:rPr>
          <w:lang w:val="mk-MK"/>
        </w:rPr>
        <w:t>од</w:t>
      </w:r>
      <w:r w:rsidR="008C1A64" w:rsidRPr="00996776">
        <w:rPr>
          <w:lang w:val="mk-MK"/>
        </w:rPr>
        <w:t xml:space="preserve"> Тетово</w:t>
      </w:r>
      <w:r w:rsidRPr="00996776">
        <w:rPr>
          <w:lang w:val="mk-MK"/>
        </w:rPr>
        <w:t>.</w:t>
      </w:r>
    </w:p>
    <w:p w14:paraId="0C67004F" w14:textId="2EBFC79D"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3</w:t>
      </w:r>
      <w:r w:rsidRPr="00996776">
        <w:rPr>
          <w:noProof/>
          <w:lang w:val="mk-MK"/>
        </w:rPr>
        <w:fldChar w:fldCharType="end"/>
      </w:r>
      <w:r w:rsidRPr="00996776">
        <w:rPr>
          <w:lang w:val="mk-MK"/>
        </w:rPr>
        <w:t>.  </w:t>
      </w:r>
      <w:r w:rsidR="006A7D65" w:rsidRPr="00996776">
        <w:rPr>
          <w:lang w:val="mk-MK"/>
        </w:rPr>
        <w:t>Владата беше застапувана од страна на нејзиниот агент, г-а Даница Џонова</w:t>
      </w:r>
      <w:r w:rsidRPr="00996776">
        <w:rPr>
          <w:lang w:val="mk-MK"/>
        </w:rPr>
        <w:t>.</w:t>
      </w:r>
    </w:p>
    <w:p w14:paraId="66839676" w14:textId="59AE8F5D"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4</w:t>
      </w:r>
      <w:r w:rsidRPr="00996776">
        <w:rPr>
          <w:noProof/>
          <w:lang w:val="mk-MK"/>
        </w:rPr>
        <w:fldChar w:fldCharType="end"/>
      </w:r>
      <w:r w:rsidRPr="00996776">
        <w:rPr>
          <w:lang w:val="mk-MK"/>
        </w:rPr>
        <w:t>.  </w:t>
      </w:r>
      <w:r w:rsidR="006A7D65" w:rsidRPr="00996776">
        <w:rPr>
          <w:lang w:val="mk-MK"/>
        </w:rPr>
        <w:t>Фактите на случајот може да се сумираат на следниот начин</w:t>
      </w:r>
      <w:r w:rsidRPr="00996776">
        <w:rPr>
          <w:lang w:val="mk-MK"/>
        </w:rPr>
        <w:t>.</w:t>
      </w:r>
    </w:p>
    <w:p w14:paraId="61301CCF" w14:textId="39D51FBB" w:rsidR="00795EF7" w:rsidRPr="00996776" w:rsidRDefault="006A7D65" w:rsidP="00A21C42">
      <w:pPr>
        <w:pStyle w:val="JuHIRoman"/>
        <w:rPr>
          <w:lang w:val="mk-MK"/>
        </w:rPr>
      </w:pPr>
      <w:r w:rsidRPr="00996776">
        <w:rPr>
          <w:lang w:val="mk-MK"/>
        </w:rPr>
        <w:lastRenderedPageBreak/>
        <w:t>КРИВИЧНА ПОСТАПКА</w:t>
      </w:r>
    </w:p>
    <w:p w14:paraId="0DCE1947" w14:textId="40059DBB"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5</w:t>
      </w:r>
      <w:r w:rsidRPr="00996776">
        <w:rPr>
          <w:noProof/>
          <w:lang w:val="mk-MK"/>
        </w:rPr>
        <w:fldChar w:fldCharType="end"/>
      </w:r>
      <w:r w:rsidRPr="00996776">
        <w:rPr>
          <w:lang w:val="mk-MK"/>
        </w:rPr>
        <w:t>.  </w:t>
      </w:r>
      <w:r w:rsidR="006A7D65" w:rsidRPr="00996776">
        <w:rPr>
          <w:lang w:val="mk-MK"/>
        </w:rPr>
        <w:t xml:space="preserve">На 2 септември 2013 година, сестрата на </w:t>
      </w:r>
      <w:bookmarkStart w:id="0" w:name="_Hlk192148306"/>
      <w:r w:rsidR="006A7D65" w:rsidRPr="00996776">
        <w:rPr>
          <w:lang w:val="mk-MK"/>
        </w:rPr>
        <w:t xml:space="preserve">апликантката </w:t>
      </w:r>
      <w:bookmarkEnd w:id="0"/>
      <w:r w:rsidR="006A7D65" w:rsidRPr="00996776">
        <w:rPr>
          <w:lang w:val="mk-MK"/>
        </w:rPr>
        <w:t>поднела пријава до Министерството за внатрешни работи („Министерството“) против извесен Ѓ.К., кој во моментот имал 39 години, за полов напад врз малолетн</w:t>
      </w:r>
      <w:r w:rsidR="009D00E1">
        <w:rPr>
          <w:lang w:val="mk-MK"/>
        </w:rPr>
        <w:t>чка</w:t>
      </w:r>
      <w:r w:rsidR="006A7D65" w:rsidRPr="00996776">
        <w:rPr>
          <w:lang w:val="mk-MK"/>
        </w:rPr>
        <w:t xml:space="preserve">. Таа изјавила дека на 31.08.2013 година во нивната куќа дошол Ѓ.К., вработен во телекомуникациска компанија за да им ја врати интернет-врската. Кога останал сама со апликантката, тој </w:t>
      </w:r>
      <w:r w:rsidR="009D00E1" w:rsidRPr="009D00E1">
        <w:rPr>
          <w:lang w:val="mk-MK"/>
        </w:rPr>
        <w:t> ѝ</w:t>
      </w:r>
      <w:r w:rsidR="006A7D65" w:rsidRPr="00996776">
        <w:rPr>
          <w:lang w:val="mk-MK"/>
        </w:rPr>
        <w:t xml:space="preserve"> рекол дека нејзините нозе се убаво исончани и ја допрел нејзината нога. Апликантката се оддалечила, но тој ја следел. Тој ѝ рекол дека е нормално што мажите ја сакаат затоа што има големи гради. Потоа почнал да </w:t>
      </w:r>
      <w:r w:rsidR="009D00E1" w:rsidRPr="00996776">
        <w:rPr>
          <w:lang w:val="mk-MK"/>
        </w:rPr>
        <w:t xml:space="preserve">ѝ </w:t>
      </w:r>
      <w:r w:rsidR="006A7D65" w:rsidRPr="00996776">
        <w:rPr>
          <w:lang w:val="mk-MK"/>
        </w:rPr>
        <w:t>ги масира рамениците и да ги допира нејзините гради. Апликантката избегала од собата. Подоцна истиот ден, Ѓ.К. наводно ја допирал и сестрата на апликантката на несоодветен начин</w:t>
      </w:r>
      <w:r w:rsidRPr="00996776">
        <w:rPr>
          <w:lang w:val="mk-MK"/>
        </w:rPr>
        <w:t>.</w:t>
      </w:r>
    </w:p>
    <w:p w14:paraId="36AC77BC" w14:textId="67A7ECEF"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6</w:t>
      </w:r>
      <w:r w:rsidRPr="00996776">
        <w:rPr>
          <w:noProof/>
          <w:lang w:val="mk-MK"/>
        </w:rPr>
        <w:fldChar w:fldCharType="end"/>
      </w:r>
      <w:r w:rsidRPr="00996776">
        <w:rPr>
          <w:lang w:val="mk-MK"/>
        </w:rPr>
        <w:t>.  </w:t>
      </w:r>
      <w:r w:rsidR="00420F8D" w:rsidRPr="00996776">
        <w:rPr>
          <w:lang w:val="mk-MK"/>
        </w:rPr>
        <w:t>На 3 септември 2013 година, полициски службеник зел изјава од Ѓ.К., кој негирал дека ги допирал апликантката или нејзината сестра</w:t>
      </w:r>
      <w:r w:rsidRPr="00996776">
        <w:rPr>
          <w:lang w:val="mk-MK"/>
        </w:rPr>
        <w:t>.</w:t>
      </w:r>
    </w:p>
    <w:p w14:paraId="117A30F4" w14:textId="46D0CD5A"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1" w:name="paragraph00007"/>
      <w:r w:rsidRPr="00996776">
        <w:rPr>
          <w:noProof/>
          <w:lang w:val="mk-MK"/>
        </w:rPr>
        <w:t>7</w:t>
      </w:r>
      <w:bookmarkEnd w:id="1"/>
      <w:r w:rsidRPr="00996776">
        <w:rPr>
          <w:noProof/>
          <w:lang w:val="mk-MK"/>
        </w:rPr>
        <w:fldChar w:fldCharType="end"/>
      </w:r>
      <w:r w:rsidRPr="00996776">
        <w:rPr>
          <w:lang w:val="mk-MK"/>
        </w:rPr>
        <w:t>.  </w:t>
      </w:r>
      <w:r w:rsidR="00420F8D" w:rsidRPr="00996776">
        <w:rPr>
          <w:lang w:val="mk-MK"/>
        </w:rPr>
        <w:t xml:space="preserve">На 28 октомври 2013 година јавен обвинител извршил разговор со апликантката, која изјавила дека Ѓ.К. ја допрал по рамениците и едната града, и кажал дека мажите и праќаат пораки затоа што ја сакаат и дека има големи гради, а и ја галел по ногата и </w:t>
      </w:r>
      <w:r w:rsidR="00902413">
        <w:rPr>
          <w:rFonts w:cstheme="minorHAnsi"/>
          <w:lang w:val="mk-MK"/>
        </w:rPr>
        <w:t>ѝ</w:t>
      </w:r>
      <w:r w:rsidR="00420F8D" w:rsidRPr="00996776">
        <w:rPr>
          <w:lang w:val="mk-MK"/>
        </w:rPr>
        <w:t xml:space="preserve"> дал комплименти за исончаните нозе. Н</w:t>
      </w:r>
      <w:r w:rsidR="00902413">
        <w:rPr>
          <w:lang w:val="mk-MK"/>
        </w:rPr>
        <w:t>е</w:t>
      </w:r>
      <w:r w:rsidR="00420F8D" w:rsidRPr="00996776">
        <w:rPr>
          <w:lang w:val="mk-MK"/>
        </w:rPr>
        <w:t xml:space="preserve"> ѝ се заканувал, ниту употребил сила. Истиот ден, обвинителот извршил разговор и со сестрата и мајката на апликантката. Мајката меѓу другото изјавила дека по инцидентот и апликантката и нејзината сестра биле исплашени и вознемирени и дека ги однела </w:t>
      </w:r>
      <w:r w:rsidR="009D00E1">
        <w:rPr>
          <w:lang w:val="mk-MK"/>
        </w:rPr>
        <w:t>на</w:t>
      </w:r>
      <w:r w:rsidR="00420F8D" w:rsidRPr="00996776">
        <w:rPr>
          <w:lang w:val="mk-MK"/>
        </w:rPr>
        <w:t xml:space="preserve"> психијатар, кој им препишал лекови</w:t>
      </w:r>
      <w:r w:rsidRPr="00996776">
        <w:rPr>
          <w:lang w:val="mk-MK"/>
        </w:rPr>
        <w:t>.</w:t>
      </w:r>
    </w:p>
    <w:p w14:paraId="17B4C953" w14:textId="17DCFA7B"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8</w:t>
      </w:r>
      <w:r w:rsidRPr="00996776">
        <w:rPr>
          <w:noProof/>
          <w:lang w:val="mk-MK"/>
        </w:rPr>
        <w:fldChar w:fldCharType="end"/>
      </w:r>
      <w:r w:rsidRPr="00996776">
        <w:rPr>
          <w:lang w:val="mk-MK"/>
        </w:rPr>
        <w:t>.  </w:t>
      </w:r>
      <w:r w:rsidR="0024436B" w:rsidRPr="00996776">
        <w:rPr>
          <w:lang w:val="mk-MK"/>
        </w:rPr>
        <w:t>На 31 октомври 2013 година друг јавен обвинител („обвинителот“) извршил разговор со Ѓ.К., кој повторно ги негира</w:t>
      </w:r>
      <w:r w:rsidR="009D00E1">
        <w:rPr>
          <w:lang w:val="mk-MK"/>
        </w:rPr>
        <w:t>л</w:t>
      </w:r>
      <w:r w:rsidR="0024436B" w:rsidRPr="00996776">
        <w:rPr>
          <w:lang w:val="mk-MK"/>
        </w:rPr>
        <w:t xml:space="preserve"> обвинувањата.</w:t>
      </w:r>
    </w:p>
    <w:p w14:paraId="0D9C2FF9" w14:textId="7FDCACE7"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2" w:name="paragraph00009"/>
      <w:r w:rsidRPr="00996776">
        <w:rPr>
          <w:noProof/>
          <w:lang w:val="mk-MK"/>
        </w:rPr>
        <w:t>9</w:t>
      </w:r>
      <w:bookmarkEnd w:id="2"/>
      <w:r w:rsidRPr="00996776">
        <w:rPr>
          <w:noProof/>
          <w:lang w:val="mk-MK"/>
        </w:rPr>
        <w:fldChar w:fldCharType="end"/>
      </w:r>
      <w:r w:rsidRPr="00996776">
        <w:rPr>
          <w:lang w:val="mk-MK"/>
        </w:rPr>
        <w:t>.  </w:t>
      </w:r>
      <w:r w:rsidR="0024436B" w:rsidRPr="00996776">
        <w:rPr>
          <w:lang w:val="mk-MK"/>
        </w:rPr>
        <w:t xml:space="preserve">На 6 ноември 2013 година обвинителот ја одбил кривичната пријава против Ѓ.К. за делото силување според член 186 § 4 во врска со член 186 § 1 од Кривичниот законик, </w:t>
      </w:r>
      <w:r w:rsidR="009D00E1" w:rsidRPr="009D00E1">
        <w:rPr>
          <w:lang w:val="mk-MK"/>
        </w:rPr>
        <w:t>со ко</w:t>
      </w:r>
      <w:r w:rsidR="009D00E1">
        <w:rPr>
          <w:lang w:val="mk-MK"/>
        </w:rPr>
        <w:t>ј</w:t>
      </w:r>
      <w:r w:rsidR="009D00E1" w:rsidRPr="009D00E1">
        <w:rPr>
          <w:lang w:val="mk-MK"/>
        </w:rPr>
        <w:t xml:space="preserve"> се криминализирани </w:t>
      </w:r>
      <w:r w:rsidR="006A030F">
        <w:rPr>
          <w:lang w:val="mk-MK"/>
        </w:rPr>
        <w:t>полови</w:t>
      </w:r>
      <w:r w:rsidR="009D00E1" w:rsidRPr="009D00E1">
        <w:rPr>
          <w:lang w:val="mk-MK"/>
        </w:rPr>
        <w:t xml:space="preserve"> дејствија освен силување кога се извршени под одредени околности</w:t>
      </w:r>
      <w:r w:rsidR="0024436B" w:rsidRPr="00996776">
        <w:rPr>
          <w:lang w:val="mk-MK"/>
        </w:rPr>
        <w:t xml:space="preserve"> (види </w:t>
      </w:r>
      <w:r w:rsidR="00902413">
        <w:rPr>
          <w:lang w:val="mk-MK"/>
        </w:rPr>
        <w:t>параграф</w:t>
      </w:r>
      <w:r w:rsidR="0024436B" w:rsidRPr="00996776">
        <w:rPr>
          <w:lang w:val="mk-MK"/>
        </w:rPr>
        <w:t xml:space="preserve"> 20 подолу). Обвинителот го утврди следново</w:t>
      </w:r>
      <w:r w:rsidRPr="00996776">
        <w:rPr>
          <w:lang w:val="mk-MK"/>
        </w:rPr>
        <w:t>:</w:t>
      </w:r>
    </w:p>
    <w:p w14:paraId="3BE92D7D" w14:textId="6ED1E232" w:rsidR="00795EF7" w:rsidRPr="00996776" w:rsidRDefault="00000000" w:rsidP="00A21C42">
      <w:pPr>
        <w:pStyle w:val="JuQuot"/>
        <w:rPr>
          <w:lang w:val="mk-MK"/>
        </w:rPr>
      </w:pPr>
      <w:r w:rsidRPr="00996776">
        <w:rPr>
          <w:lang w:val="mk-MK"/>
        </w:rPr>
        <w:t>“</w:t>
      </w:r>
      <w:r w:rsidR="0024436B" w:rsidRPr="00996776">
        <w:rPr>
          <w:lang w:val="mk-MK"/>
        </w:rPr>
        <w:t>Точно е дека тој ден, во моментот и на местото, [Ѓ.К.] со едната рака ја допрел едната града и ја галел ногата на [апликантката], која имала 14 години... без употреба на сила или закани.</w:t>
      </w:r>
      <w:r w:rsidRPr="00996776">
        <w:rPr>
          <w:lang w:val="mk-MK"/>
        </w:rPr>
        <w:t>...</w:t>
      </w:r>
    </w:p>
    <w:p w14:paraId="48D9A3AF" w14:textId="4D55373E" w:rsidR="0024436B" w:rsidRPr="00996776" w:rsidRDefault="0024436B" w:rsidP="00A21C42">
      <w:pPr>
        <w:pStyle w:val="JuQuot"/>
        <w:rPr>
          <w:lang w:val="mk-MK"/>
        </w:rPr>
      </w:pPr>
      <w:r w:rsidRPr="00996776">
        <w:rPr>
          <w:lang w:val="mk-MK"/>
        </w:rPr>
        <w:t xml:space="preserve">За да постојат елементи на делото силување според член 186 § 4 во врска со член 186 § 1, „друго </w:t>
      </w:r>
      <w:r w:rsidR="006A030F">
        <w:rPr>
          <w:lang w:val="mk-MK"/>
        </w:rPr>
        <w:t>полово</w:t>
      </w:r>
      <w:r w:rsidRPr="00996776">
        <w:rPr>
          <w:lang w:val="mk-MK"/>
        </w:rPr>
        <w:t xml:space="preserve"> дејствие “мора да биде извршено со употреба на сила или закани.</w:t>
      </w:r>
    </w:p>
    <w:p w14:paraId="65E1829D" w14:textId="28A88851" w:rsidR="00795EF7" w:rsidRPr="00996776" w:rsidRDefault="0024436B" w:rsidP="00A21C42">
      <w:pPr>
        <w:pStyle w:val="JuQuot"/>
        <w:rPr>
          <w:lang w:val="mk-MK"/>
        </w:rPr>
      </w:pPr>
      <w:r w:rsidRPr="00996776">
        <w:rPr>
          <w:lang w:val="mk-MK"/>
        </w:rPr>
        <w:t xml:space="preserve">Со оглед на тоа што во конкретниот случај [Ѓ.К.] го извршил „другото </w:t>
      </w:r>
      <w:r w:rsidR="006A030F">
        <w:rPr>
          <w:lang w:val="mk-MK"/>
        </w:rPr>
        <w:t>полово</w:t>
      </w:r>
      <w:r w:rsidR="009D00E1" w:rsidRPr="00996776">
        <w:rPr>
          <w:lang w:val="mk-MK"/>
        </w:rPr>
        <w:t xml:space="preserve"> </w:t>
      </w:r>
      <w:r w:rsidRPr="00996776">
        <w:rPr>
          <w:lang w:val="mk-MK"/>
        </w:rPr>
        <w:t xml:space="preserve">дејствие“ без употреба на сила или закани..., неговите постапки не претставуваат елементи на ова дело или на друго дело предмет на јавно гонење, туку ги сочинуваат елементите на делото навреда од член 173 § 1 од Кривичниот законик, што се гони по приватна </w:t>
      </w:r>
      <w:r w:rsidR="00902413">
        <w:rPr>
          <w:lang w:val="mk-MK"/>
        </w:rPr>
        <w:t>тужба</w:t>
      </w:r>
      <w:r w:rsidRPr="00996776">
        <w:rPr>
          <w:lang w:val="mk-MK"/>
        </w:rPr>
        <w:t>....”</w:t>
      </w:r>
    </w:p>
    <w:p w14:paraId="175CB374" w14:textId="7059D818" w:rsidR="00795EF7" w:rsidRPr="00996776" w:rsidRDefault="0024436B" w:rsidP="00A21C42">
      <w:pPr>
        <w:pStyle w:val="JuPara"/>
        <w:rPr>
          <w:lang w:val="mk-MK"/>
        </w:rPr>
      </w:pPr>
      <w:r w:rsidRPr="00996776">
        <w:rPr>
          <w:lang w:val="mk-MK"/>
        </w:rPr>
        <w:lastRenderedPageBreak/>
        <w:t xml:space="preserve">Обвинителот ги информирал апликантката и нејзината сестра дека можат да го преземат гонењето, во рок од осум дена од доставување на одлуката на обвинителот, во согласност со член 56(2) од Законот за кривична постапка (види </w:t>
      </w:r>
      <w:r w:rsidR="00902413">
        <w:rPr>
          <w:lang w:val="mk-MK"/>
        </w:rPr>
        <w:t>параграф</w:t>
      </w:r>
      <w:r w:rsidRPr="00996776">
        <w:rPr>
          <w:lang w:val="mk-MK"/>
        </w:rPr>
        <w:t xml:space="preserve"> 31 подолу).</w:t>
      </w:r>
    </w:p>
    <w:p w14:paraId="5A5D2AA0" w14:textId="00A8104D" w:rsidR="00795EF7" w:rsidRPr="00996776" w:rsidRDefault="0024436B" w:rsidP="00A21C42">
      <w:pPr>
        <w:pStyle w:val="JuHIRoman"/>
        <w:rPr>
          <w:lang w:val="mk-MK"/>
        </w:rPr>
      </w:pPr>
      <w:r w:rsidRPr="00996776">
        <w:rPr>
          <w:caps w:val="0"/>
          <w:lang w:val="mk-MK"/>
        </w:rPr>
        <w:t>ГРАЃАНСКА ПОСТАПКА</w:t>
      </w:r>
    </w:p>
    <w:p w14:paraId="433932E3" w14:textId="1DADF776"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3" w:name="paragraph00010"/>
      <w:r w:rsidRPr="00996776">
        <w:rPr>
          <w:noProof/>
          <w:lang w:val="mk-MK"/>
        </w:rPr>
        <w:t>10</w:t>
      </w:r>
      <w:bookmarkEnd w:id="3"/>
      <w:r w:rsidRPr="00996776">
        <w:rPr>
          <w:noProof/>
          <w:lang w:val="mk-MK"/>
        </w:rPr>
        <w:fldChar w:fldCharType="end"/>
      </w:r>
      <w:r w:rsidRPr="00996776">
        <w:rPr>
          <w:lang w:val="mk-MK"/>
        </w:rPr>
        <w:t>.  </w:t>
      </w:r>
      <w:r w:rsidR="0024436B" w:rsidRPr="00996776">
        <w:rPr>
          <w:lang w:val="mk-MK"/>
        </w:rPr>
        <w:t>На 30 ноември 2013 година апликантката, застапувана од адвокат, поднела граѓанска тужба против Ѓ.К. и поднела дополнителни поднесоци на 16 декември 2013 и 28 февруари 2014 година. Таа изјавила дека ја галел по ногата, ја допирал по градите и</w:t>
      </w:r>
      <w:r w:rsidR="009D00E1" w:rsidRPr="009D00E1">
        <w:rPr>
          <w:lang w:val="mk-MK"/>
        </w:rPr>
        <w:t xml:space="preserve">  ѝ</w:t>
      </w:r>
      <w:r w:rsidR="0024436B" w:rsidRPr="00996776">
        <w:rPr>
          <w:lang w:val="mk-MK"/>
        </w:rPr>
        <w:t xml:space="preserve"> ги масирал рамениците и дека </w:t>
      </w:r>
      <w:r w:rsidR="009D00E1" w:rsidRPr="009D00E1">
        <w:rPr>
          <w:lang w:val="mk-MK"/>
        </w:rPr>
        <w:t>ѝ</w:t>
      </w:r>
      <w:r w:rsidR="0024436B" w:rsidRPr="00996776">
        <w:rPr>
          <w:lang w:val="mk-MK"/>
        </w:rPr>
        <w:t xml:space="preserve"> рекол дека мажите ја сакаат затоа што има големи гради. Таа бара</w:t>
      </w:r>
      <w:r w:rsidR="00902413">
        <w:rPr>
          <w:lang w:val="mk-MK"/>
        </w:rPr>
        <w:t>ла</w:t>
      </w:r>
      <w:r w:rsidR="0024436B" w:rsidRPr="00996776">
        <w:rPr>
          <w:lang w:val="mk-MK"/>
        </w:rPr>
        <w:t xml:space="preserve"> надомест на нематеријална штета и побара</w:t>
      </w:r>
      <w:r w:rsidR="00902413">
        <w:rPr>
          <w:lang w:val="mk-MK"/>
        </w:rPr>
        <w:t>ла</w:t>
      </w:r>
      <w:r w:rsidR="0024436B" w:rsidRPr="00996776">
        <w:rPr>
          <w:lang w:val="mk-MK"/>
        </w:rPr>
        <w:t xml:space="preserve"> судот да го </w:t>
      </w:r>
      <w:r w:rsidR="00902413">
        <w:rPr>
          <w:lang w:val="mk-MK"/>
        </w:rPr>
        <w:t>огласи</w:t>
      </w:r>
      <w:r w:rsidR="0024436B" w:rsidRPr="00996776">
        <w:rPr>
          <w:lang w:val="mk-MK"/>
        </w:rPr>
        <w:t xml:space="preserve"> Ѓ.К. </w:t>
      </w:r>
      <w:r w:rsidR="00902413">
        <w:rPr>
          <w:lang w:val="mk-MK"/>
        </w:rPr>
        <w:t>за виновен</w:t>
      </w:r>
      <w:r w:rsidR="0024436B" w:rsidRPr="00996776">
        <w:rPr>
          <w:lang w:val="mk-MK"/>
        </w:rPr>
        <w:t xml:space="preserve"> за навреда и за нанесување штета на нејзината чест и углед. Како поткрепа на своето тврдење, таа поднела, меѓу другото, вештачење од 20 ноември 2013 година, во кое, меѓу другото, било утврдено дека таа претрпела страв и психичко вознемирување како резултат на наводниот инцидент.</w:t>
      </w:r>
    </w:p>
    <w:p w14:paraId="0462047D" w14:textId="07589F94"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11</w:t>
      </w:r>
      <w:r w:rsidRPr="00996776">
        <w:rPr>
          <w:noProof/>
          <w:lang w:val="mk-MK"/>
        </w:rPr>
        <w:fldChar w:fldCharType="end"/>
      </w:r>
      <w:r w:rsidRPr="00996776">
        <w:rPr>
          <w:lang w:val="mk-MK"/>
        </w:rPr>
        <w:t>.  </w:t>
      </w:r>
      <w:r w:rsidR="0024436B" w:rsidRPr="00996776">
        <w:rPr>
          <w:lang w:val="mk-MK"/>
        </w:rPr>
        <w:t>На 10 март 2015 година, по барањето од Апелациониот суд Гостивар („апелациониот суд“), Основниот суд Тетово („првостепениот суд“) го одбил тужбеното барање на апликантката. То</w:t>
      </w:r>
      <w:r w:rsidR="005258E2" w:rsidRPr="00996776">
        <w:rPr>
          <w:lang w:val="mk-MK"/>
        </w:rPr>
        <w:t>а</w:t>
      </w:r>
      <w:r w:rsidR="0024436B" w:rsidRPr="00996776">
        <w:rPr>
          <w:lang w:val="mk-MK"/>
        </w:rPr>
        <w:t xml:space="preserve"> се потпираше, меѓу другото, на </w:t>
      </w:r>
      <w:r w:rsidR="00902413">
        <w:rPr>
          <w:lang w:val="mk-MK"/>
        </w:rPr>
        <w:t>член</w:t>
      </w:r>
      <w:r w:rsidR="0024436B" w:rsidRPr="00996776">
        <w:rPr>
          <w:lang w:val="mk-MK"/>
        </w:rPr>
        <w:t xml:space="preserve"> 6 од </w:t>
      </w:r>
      <w:r w:rsidR="006244FD" w:rsidRPr="00996776">
        <w:rPr>
          <w:lang w:val="mk-MK"/>
        </w:rPr>
        <w:t>Закон</w:t>
      </w:r>
      <w:r w:rsidR="006244FD">
        <w:rPr>
          <w:lang w:val="mk-MK"/>
        </w:rPr>
        <w:t>от</w:t>
      </w:r>
      <w:r w:rsidR="006244FD" w:rsidRPr="00996776">
        <w:rPr>
          <w:lang w:val="mk-MK"/>
        </w:rPr>
        <w:t xml:space="preserve"> за граѓанска одговорност за навреда и клевета </w:t>
      </w:r>
      <w:r w:rsidR="0024436B" w:rsidRPr="00996776">
        <w:rPr>
          <w:lang w:val="mk-MK"/>
        </w:rPr>
        <w:t xml:space="preserve">(види </w:t>
      </w:r>
      <w:r w:rsidR="00902413">
        <w:rPr>
          <w:lang w:val="mk-MK"/>
        </w:rPr>
        <w:t>параграф</w:t>
      </w:r>
      <w:r w:rsidR="0024436B" w:rsidRPr="00996776">
        <w:rPr>
          <w:lang w:val="mk-MK"/>
        </w:rPr>
        <w:t xml:space="preserve"> 26 подолу) и сметаше дека според тој Закон едно лице може да биде одговорно за изразено мислење, но не и за конкретно дејствие, како оние опишани од апликант</w:t>
      </w:r>
      <w:r w:rsidR="005258E2" w:rsidRPr="00996776">
        <w:rPr>
          <w:lang w:val="mk-MK"/>
        </w:rPr>
        <w:t>ката</w:t>
      </w:r>
      <w:r w:rsidR="0024436B" w:rsidRPr="00996776">
        <w:rPr>
          <w:lang w:val="mk-MK"/>
        </w:rPr>
        <w:t>. Дополнително, по одлуката на обвинителот од 6 ноември 2013 година (</w:t>
      </w:r>
      <w:r w:rsidR="00902413">
        <w:rPr>
          <w:lang w:val="mk-MK"/>
        </w:rPr>
        <w:t>параграф</w:t>
      </w:r>
      <w:r w:rsidR="00902413" w:rsidRPr="00996776">
        <w:rPr>
          <w:lang w:val="mk-MK"/>
        </w:rPr>
        <w:t xml:space="preserve"> </w:t>
      </w:r>
      <w:r w:rsidR="0024436B" w:rsidRPr="00996776">
        <w:rPr>
          <w:lang w:val="mk-MK"/>
        </w:rPr>
        <w:t xml:space="preserve">9 погоре), апликантката можела да го преземе гонењето, по што таа потенцијално можела да бара компензација. Имајќи го предвид и член 191 од Законот за облигациони односи, судот заклучи дека нема основа за компензација според </w:t>
      </w:r>
      <w:r w:rsidR="006244FD" w:rsidRPr="00996776">
        <w:rPr>
          <w:lang w:val="mk-MK"/>
        </w:rPr>
        <w:t>Закон</w:t>
      </w:r>
      <w:r w:rsidR="006244FD">
        <w:rPr>
          <w:lang w:val="mk-MK"/>
        </w:rPr>
        <w:t>от</w:t>
      </w:r>
      <w:r w:rsidR="006244FD" w:rsidRPr="00996776">
        <w:rPr>
          <w:lang w:val="mk-MK"/>
        </w:rPr>
        <w:t xml:space="preserve"> за граѓанска одговорност за навреда и клевета</w:t>
      </w:r>
      <w:r w:rsidR="0024436B" w:rsidRPr="00996776">
        <w:rPr>
          <w:lang w:val="mk-MK"/>
        </w:rPr>
        <w:t>.</w:t>
      </w:r>
    </w:p>
    <w:p w14:paraId="3F52D09B" w14:textId="4DB28158"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12</w:t>
      </w:r>
      <w:r w:rsidRPr="00996776">
        <w:rPr>
          <w:noProof/>
          <w:lang w:val="mk-MK"/>
        </w:rPr>
        <w:fldChar w:fldCharType="end"/>
      </w:r>
      <w:r w:rsidRPr="00996776">
        <w:rPr>
          <w:lang w:val="mk-MK"/>
        </w:rPr>
        <w:t>.  </w:t>
      </w:r>
      <w:r w:rsidR="0023743D" w:rsidRPr="00996776">
        <w:rPr>
          <w:lang w:val="mk-MK"/>
        </w:rPr>
        <w:t xml:space="preserve">Апликантката се жалеше, тврдејќи дека деградирачките и понижувачките дејствија извршени врз телото на една личност може да претставуваат навредливо однесување. Требаше да се земат предвид сите околности, како што се нејзината возраст, местото и времето на наводниот инцидент, како и локалните обичаи. Потпирајќи се на </w:t>
      </w:r>
      <w:r w:rsidR="00902413">
        <w:rPr>
          <w:lang w:val="mk-MK"/>
        </w:rPr>
        <w:t>членот</w:t>
      </w:r>
      <w:r w:rsidR="0023743D" w:rsidRPr="00996776">
        <w:rPr>
          <w:lang w:val="mk-MK"/>
        </w:rPr>
        <w:t xml:space="preserve"> 3 од </w:t>
      </w:r>
      <w:r w:rsidR="006244FD" w:rsidRPr="006244FD">
        <w:rPr>
          <w:lang w:val="mk-MK"/>
        </w:rPr>
        <w:t xml:space="preserve">Законот за граѓанска одговорност за навреда и клевета </w:t>
      </w:r>
      <w:r w:rsidR="0023743D" w:rsidRPr="00996776">
        <w:rPr>
          <w:lang w:val="mk-MK"/>
        </w:rPr>
        <w:t xml:space="preserve">(види </w:t>
      </w:r>
      <w:r w:rsidR="00902413">
        <w:rPr>
          <w:lang w:val="mk-MK"/>
        </w:rPr>
        <w:t>параграф</w:t>
      </w:r>
      <w:r w:rsidR="0023743D" w:rsidRPr="00996776">
        <w:rPr>
          <w:lang w:val="mk-MK"/>
        </w:rPr>
        <w:t xml:space="preserve"> 24 подолу), таа тврдеше дека во случај на правна празнина, судот треба директно да ги примени Конвенцијата и судската пракса на Судот</w:t>
      </w:r>
      <w:r w:rsidRPr="00996776">
        <w:rPr>
          <w:lang w:val="mk-MK"/>
        </w:rPr>
        <w:t>.</w:t>
      </w:r>
    </w:p>
    <w:p w14:paraId="67198FB1" w14:textId="118D9870"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4" w:name="paragraph00014"/>
      <w:r w:rsidR="00A21C42" w:rsidRPr="00996776">
        <w:rPr>
          <w:noProof/>
          <w:lang w:val="mk-MK"/>
        </w:rPr>
        <w:t>13</w:t>
      </w:r>
      <w:bookmarkEnd w:id="4"/>
      <w:r w:rsidRPr="00996776">
        <w:rPr>
          <w:lang w:val="mk-MK"/>
        </w:rPr>
        <w:fldChar w:fldCharType="end"/>
      </w:r>
      <w:r w:rsidRPr="00996776">
        <w:rPr>
          <w:lang w:val="mk-MK"/>
        </w:rPr>
        <w:t>.  </w:t>
      </w:r>
      <w:r w:rsidR="0023743D" w:rsidRPr="00996776">
        <w:rPr>
          <w:lang w:val="mk-MK"/>
        </w:rPr>
        <w:t xml:space="preserve">На 22 март 2016 година, апелациониот суд ја одбил жалбата на апликантката, потврдувајќи ги наодите на понискиот суд (види </w:t>
      </w:r>
      <w:r w:rsidR="00902413">
        <w:rPr>
          <w:lang w:val="mk-MK"/>
        </w:rPr>
        <w:t>параграф</w:t>
      </w:r>
      <w:r w:rsidR="00902413" w:rsidRPr="00996776">
        <w:rPr>
          <w:lang w:val="mk-MK"/>
        </w:rPr>
        <w:t xml:space="preserve"> </w:t>
      </w:r>
      <w:r w:rsidR="0023743D" w:rsidRPr="00996776">
        <w:rPr>
          <w:lang w:val="mk-MK"/>
        </w:rPr>
        <w:t xml:space="preserve">11 погоре). Тој одлучи дека апликантката не успеала да ги </w:t>
      </w:r>
      <w:r w:rsidR="00641CA8">
        <w:rPr>
          <w:lang w:val="mk-MK"/>
        </w:rPr>
        <w:t>докаже конститутивните</w:t>
      </w:r>
      <w:r w:rsidR="0023743D" w:rsidRPr="00996776">
        <w:rPr>
          <w:lang w:val="mk-MK"/>
        </w:rPr>
        <w:t xml:space="preserve"> елементи на делото на навреда или да утврди </w:t>
      </w:r>
      <w:r w:rsidR="0023743D" w:rsidRPr="00996776">
        <w:rPr>
          <w:lang w:val="mk-MK"/>
        </w:rPr>
        <w:lastRenderedPageBreak/>
        <w:t>причинско-последична врска помеѓу дејствијата на Ѓ.К. и штетата што наводно ја претрпела. Судот заклучи дека не постои законска одредба во врска со граѓанската одговорност која би го опфатила барањето на апликантката.</w:t>
      </w:r>
    </w:p>
    <w:p w14:paraId="5AAA5AC8" w14:textId="14594E21"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5" w:name="paragraph00015"/>
      <w:r w:rsidRPr="00996776">
        <w:rPr>
          <w:noProof/>
          <w:lang w:val="mk-MK"/>
        </w:rPr>
        <w:t>14</w:t>
      </w:r>
      <w:bookmarkEnd w:id="5"/>
      <w:r w:rsidRPr="00996776">
        <w:rPr>
          <w:noProof/>
          <w:lang w:val="mk-MK"/>
        </w:rPr>
        <w:fldChar w:fldCharType="end"/>
      </w:r>
      <w:r w:rsidRPr="00996776">
        <w:rPr>
          <w:lang w:val="mk-MK"/>
        </w:rPr>
        <w:t>.  </w:t>
      </w:r>
      <w:r w:rsidR="0023743D" w:rsidRPr="00996776">
        <w:rPr>
          <w:lang w:val="mk-MK"/>
        </w:rPr>
        <w:t xml:space="preserve">На 8 април 2016 година, пресудата од апелациониот суд </w:t>
      </w:r>
      <w:r w:rsidR="009040E4" w:rsidRPr="009D00E1">
        <w:rPr>
          <w:lang w:val="mk-MK"/>
        </w:rPr>
        <w:t>ѝ</w:t>
      </w:r>
      <w:r w:rsidR="0023743D" w:rsidRPr="00996776">
        <w:rPr>
          <w:lang w:val="mk-MK"/>
        </w:rPr>
        <w:t xml:space="preserve"> била доставена на апликантката</w:t>
      </w:r>
      <w:r w:rsidRPr="00996776">
        <w:rPr>
          <w:lang w:val="mk-MK"/>
        </w:rPr>
        <w:t>.</w:t>
      </w:r>
    </w:p>
    <w:p w14:paraId="5469908F" w14:textId="145A1435" w:rsidR="00795EF7" w:rsidRPr="00996776" w:rsidRDefault="00433D77" w:rsidP="00A21C42">
      <w:pPr>
        <w:pStyle w:val="JuHHead"/>
        <w:rPr>
          <w:lang w:val="mk-MK"/>
        </w:rPr>
      </w:pPr>
      <w:r w:rsidRPr="00996776">
        <w:rPr>
          <w:lang w:val="mk-MK"/>
        </w:rPr>
        <w:t xml:space="preserve">РЕЛЕВАНТНА ПРАВНА РАМКА  </w:t>
      </w:r>
    </w:p>
    <w:p w14:paraId="70DB98FC" w14:textId="7FCD7984" w:rsidR="00795EF7" w:rsidRPr="00996776" w:rsidRDefault="00433D77" w:rsidP="00A21C42">
      <w:pPr>
        <w:pStyle w:val="JuHIRoman"/>
        <w:rPr>
          <w:lang w:val="mk-MK"/>
        </w:rPr>
      </w:pPr>
      <w:r w:rsidRPr="00996776">
        <w:rPr>
          <w:caps w:val="0"/>
          <w:lang w:val="mk-MK"/>
        </w:rPr>
        <w:t xml:space="preserve">РЕЛЕВАНТНО ДОМАШНО ЗАКОНОДАВСТВО </w:t>
      </w:r>
    </w:p>
    <w:p w14:paraId="3388EFFD" w14:textId="3B40F804" w:rsidR="00795EF7" w:rsidRPr="00996776" w:rsidRDefault="00433D77" w:rsidP="00A21C42">
      <w:pPr>
        <w:pStyle w:val="JuHA"/>
        <w:rPr>
          <w:lang w:val="mk-MK"/>
        </w:rPr>
      </w:pPr>
      <w:r w:rsidRPr="00996776">
        <w:rPr>
          <w:lang w:val="mk-MK"/>
        </w:rPr>
        <w:t xml:space="preserve">Уставот од 1991 година </w:t>
      </w:r>
    </w:p>
    <w:p w14:paraId="276B7AE1" w14:textId="0C058F66"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15</w:t>
      </w:r>
      <w:r w:rsidRPr="00996776">
        <w:rPr>
          <w:noProof/>
          <w:lang w:val="mk-MK"/>
        </w:rPr>
        <w:fldChar w:fldCharType="end"/>
      </w:r>
      <w:r w:rsidRPr="00996776">
        <w:rPr>
          <w:lang w:val="mk-MK"/>
        </w:rPr>
        <w:t>.  </w:t>
      </w:r>
      <w:r w:rsidR="00433D77" w:rsidRPr="00996776">
        <w:rPr>
          <w:lang w:val="mk-MK"/>
        </w:rPr>
        <w:t xml:space="preserve">Според член 11 од Уставот, физичкиот и психолошкиот интегритет на една личност се </w:t>
      </w:r>
      <w:r w:rsidR="009040E4">
        <w:rPr>
          <w:lang w:val="mk-MK"/>
        </w:rPr>
        <w:t>неприкосновени</w:t>
      </w:r>
      <w:r w:rsidRPr="00996776">
        <w:rPr>
          <w:lang w:val="mk-MK"/>
        </w:rPr>
        <w:t>.</w:t>
      </w:r>
    </w:p>
    <w:p w14:paraId="6155C588" w14:textId="6B883B92"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6" w:name="paragraph00017"/>
      <w:r w:rsidR="00A21C42" w:rsidRPr="00996776">
        <w:rPr>
          <w:noProof/>
          <w:lang w:val="mk-MK"/>
        </w:rPr>
        <w:t>16</w:t>
      </w:r>
      <w:bookmarkEnd w:id="6"/>
      <w:r w:rsidRPr="00996776">
        <w:rPr>
          <w:lang w:val="mk-MK"/>
        </w:rPr>
        <w:fldChar w:fldCharType="end"/>
      </w:r>
      <w:r w:rsidRPr="00996776">
        <w:rPr>
          <w:lang w:val="mk-MK"/>
        </w:rPr>
        <w:t>.  </w:t>
      </w:r>
      <w:r w:rsidR="00433D77" w:rsidRPr="00996776">
        <w:rPr>
          <w:lang w:val="mk-MK"/>
        </w:rPr>
        <w:t>Член</w:t>
      </w:r>
      <w:r w:rsidRPr="00996776">
        <w:rPr>
          <w:lang w:val="mk-MK"/>
        </w:rPr>
        <w:t xml:space="preserve"> 14 </w:t>
      </w:r>
      <w:r w:rsidRPr="00996776">
        <w:rPr>
          <w:rFonts w:cstheme="minorHAnsi"/>
          <w:color w:val="000000"/>
          <w:lang w:val="mk-MK"/>
        </w:rPr>
        <w:t xml:space="preserve">§ 1 </w:t>
      </w:r>
      <w:r w:rsidR="00433D77" w:rsidRPr="00996776">
        <w:rPr>
          <w:lang w:val="mk-MK"/>
        </w:rPr>
        <w:t xml:space="preserve">го утврдува принципот </w:t>
      </w:r>
      <w:r w:rsidRPr="00996776">
        <w:rPr>
          <w:i/>
          <w:iCs/>
          <w:lang w:val="mk-MK"/>
        </w:rPr>
        <w:t>nullum crimen nulla poena</w:t>
      </w:r>
      <w:r w:rsidRPr="00996776">
        <w:rPr>
          <w:lang w:val="mk-MK"/>
        </w:rPr>
        <w:t>.</w:t>
      </w:r>
    </w:p>
    <w:p w14:paraId="3287CA4C" w14:textId="6D263776"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17</w:t>
      </w:r>
      <w:r w:rsidRPr="00996776">
        <w:rPr>
          <w:noProof/>
          <w:lang w:val="mk-MK"/>
        </w:rPr>
        <w:fldChar w:fldCharType="end"/>
      </w:r>
      <w:r w:rsidRPr="00996776">
        <w:rPr>
          <w:lang w:val="mk-MK"/>
        </w:rPr>
        <w:t>.  </w:t>
      </w:r>
      <w:r w:rsidR="00433D77" w:rsidRPr="00996776">
        <w:rPr>
          <w:lang w:val="mk-MK"/>
        </w:rPr>
        <w:t>Член 25 го гарантира правото на почитување и заштита на приватноста на личниот и семејниот живот, како и на достоинството и угледот</w:t>
      </w:r>
      <w:r w:rsidRPr="00996776">
        <w:rPr>
          <w:lang w:val="mk-MK"/>
        </w:rPr>
        <w:t>.</w:t>
      </w:r>
    </w:p>
    <w:p w14:paraId="1E68A1EC" w14:textId="6E2A8C65"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18</w:t>
      </w:r>
      <w:r w:rsidRPr="00996776">
        <w:rPr>
          <w:noProof/>
          <w:lang w:val="mk-MK"/>
        </w:rPr>
        <w:fldChar w:fldCharType="end"/>
      </w:r>
      <w:r w:rsidRPr="00996776">
        <w:rPr>
          <w:lang w:val="mk-MK"/>
        </w:rPr>
        <w:t>.  </w:t>
      </w:r>
      <w:r w:rsidR="00433D77" w:rsidRPr="00996776">
        <w:rPr>
          <w:rFonts w:cstheme="minorHAnsi"/>
          <w:color w:val="000000"/>
          <w:lang w:val="mk-MK"/>
        </w:rPr>
        <w:t>Според член 98 § 2, судовите одлучуваат врз основа на Уставот, законите и меѓународните договори ратификувани во согласност со Уставот. Членот 118 предвидува дека меѓународните договори ратификувани во согласност со Уставот се дел од внатрешниот правен поредок и не можат да бидат изменети со закон.</w:t>
      </w:r>
    </w:p>
    <w:p w14:paraId="2F18AC2F" w14:textId="39D9F9CD" w:rsidR="00795EF7" w:rsidRPr="00996776" w:rsidRDefault="00433D77" w:rsidP="00A21C42">
      <w:pPr>
        <w:pStyle w:val="JuHA"/>
        <w:rPr>
          <w:lang w:val="mk-MK"/>
        </w:rPr>
      </w:pPr>
      <w:r w:rsidRPr="00996776">
        <w:rPr>
          <w:lang w:val="mk-MK"/>
        </w:rPr>
        <w:t>Кривичен законик (Службен весник бр. 96, со дополнителни измени)</w:t>
      </w:r>
    </w:p>
    <w:p w14:paraId="60924B8F" w14:textId="0073FEE2"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7" w:name="paragraph00018"/>
      <w:r w:rsidRPr="00996776">
        <w:rPr>
          <w:noProof/>
          <w:lang w:val="mk-MK"/>
        </w:rPr>
        <w:t>19</w:t>
      </w:r>
      <w:bookmarkEnd w:id="7"/>
      <w:r w:rsidRPr="00996776">
        <w:rPr>
          <w:noProof/>
          <w:lang w:val="mk-MK"/>
        </w:rPr>
        <w:fldChar w:fldCharType="end"/>
      </w:r>
      <w:r w:rsidRPr="00996776">
        <w:rPr>
          <w:lang w:val="mk-MK"/>
        </w:rPr>
        <w:t>.  </w:t>
      </w:r>
      <w:r w:rsidR="00385ED0" w:rsidRPr="00996776">
        <w:rPr>
          <w:lang w:val="mk-MK"/>
        </w:rPr>
        <w:t>Член 173 § 1 од Кривичниот законик, кој важе</w:t>
      </w:r>
      <w:r w:rsidR="00641CA8">
        <w:rPr>
          <w:lang w:val="mk-MK"/>
        </w:rPr>
        <w:t>л</w:t>
      </w:r>
      <w:r w:rsidR="00385ED0" w:rsidRPr="00996776">
        <w:rPr>
          <w:lang w:val="mk-MK"/>
        </w:rPr>
        <w:t xml:space="preserve"> во периодот од 15 мај 2006 година до 21 ноември 2012 година, предвидуваше дека лицето кое навредува друго лице се казн</w:t>
      </w:r>
      <w:r w:rsidR="009040E4">
        <w:rPr>
          <w:lang w:val="mk-MK"/>
        </w:rPr>
        <w:t>ува</w:t>
      </w:r>
      <w:r w:rsidR="00385ED0" w:rsidRPr="00996776">
        <w:rPr>
          <w:lang w:val="mk-MK"/>
        </w:rPr>
        <w:t xml:space="preserve"> со парична казна. Според член 184, делото навреда било предмет на приватн</w:t>
      </w:r>
      <w:r w:rsidR="00641CA8">
        <w:rPr>
          <w:lang w:val="mk-MK"/>
        </w:rPr>
        <w:t>а тужба</w:t>
      </w:r>
      <w:r w:rsidR="00385ED0" w:rsidRPr="00996776">
        <w:rPr>
          <w:lang w:val="mk-MK"/>
        </w:rPr>
        <w:t xml:space="preserve"> од страна на жртвата. На 21 ноември 2012 година стапија на сила измените на Кривичниот законик, со кои се декриминализираа навредите и се предвидува можност за наводна жртва на навреда да поднесе </w:t>
      </w:r>
      <w:r w:rsidR="003F7E87">
        <w:rPr>
          <w:lang w:val="mk-MK"/>
        </w:rPr>
        <w:t>тужба</w:t>
      </w:r>
      <w:r w:rsidR="00385ED0" w:rsidRPr="00996776">
        <w:rPr>
          <w:lang w:val="mk-MK"/>
        </w:rPr>
        <w:t xml:space="preserve"> за надомест на штета</w:t>
      </w:r>
      <w:r w:rsidRPr="00996776">
        <w:rPr>
          <w:lang w:val="mk-MK"/>
        </w:rPr>
        <w:t>.</w:t>
      </w:r>
    </w:p>
    <w:p w14:paraId="67698789" w14:textId="092707A3"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8" w:name="paragraph00011"/>
      <w:r w:rsidRPr="00996776">
        <w:rPr>
          <w:noProof/>
          <w:lang w:val="mk-MK"/>
        </w:rPr>
        <w:t>20</w:t>
      </w:r>
      <w:bookmarkEnd w:id="8"/>
      <w:r w:rsidRPr="00996776">
        <w:rPr>
          <w:noProof/>
          <w:lang w:val="mk-MK"/>
        </w:rPr>
        <w:fldChar w:fldCharType="end"/>
      </w:r>
      <w:r w:rsidRPr="00996776">
        <w:rPr>
          <w:lang w:val="mk-MK"/>
        </w:rPr>
        <w:t>.  </w:t>
      </w:r>
      <w:r w:rsidR="0041699C" w:rsidRPr="00996776">
        <w:rPr>
          <w:lang w:val="mk-MK"/>
        </w:rPr>
        <w:t>Член 186 од Кривичниот законик, кој важеше во моментот на наводниот инцидент (31 август 2013 година), беше насловен „</w:t>
      </w:r>
      <w:r w:rsidR="00C40124" w:rsidRPr="00996776">
        <w:rPr>
          <w:lang w:val="mk-MK"/>
        </w:rPr>
        <w:t>силување“</w:t>
      </w:r>
      <w:r w:rsidR="0041699C" w:rsidRPr="00996776">
        <w:rPr>
          <w:lang w:val="mk-MK"/>
        </w:rPr>
        <w:t xml:space="preserve">. Според член 186 </w:t>
      </w:r>
      <w:r w:rsidR="00C40124" w:rsidRPr="00996776">
        <w:rPr>
          <w:lang w:val="mk-MK"/>
        </w:rPr>
        <w:t xml:space="preserve">§ </w:t>
      </w:r>
      <w:r w:rsidR="0041699C" w:rsidRPr="00996776">
        <w:rPr>
          <w:lang w:val="mk-MK"/>
        </w:rPr>
        <w:t xml:space="preserve">1, лицето кое присилило друго лице на </w:t>
      </w:r>
      <w:r w:rsidR="0041699C" w:rsidRPr="00641CA8">
        <w:rPr>
          <w:lang w:val="mk-MK"/>
        </w:rPr>
        <w:t>обљуба</w:t>
      </w:r>
      <w:r w:rsidR="0041699C" w:rsidRPr="00996776">
        <w:rPr>
          <w:lang w:val="mk-MK"/>
        </w:rPr>
        <w:t xml:space="preserve"> со употреба на сила или со закана дека директно ќе го нападне животот или телото на тоа лице или друго лице блиско до него, може да биде </w:t>
      </w:r>
      <w:r w:rsidR="00C40124" w:rsidRPr="00996776">
        <w:rPr>
          <w:lang w:val="mk-MK"/>
        </w:rPr>
        <w:t>осудено на затворска казна</w:t>
      </w:r>
      <w:r w:rsidR="0041699C" w:rsidRPr="00996776">
        <w:rPr>
          <w:lang w:val="mk-MK"/>
        </w:rPr>
        <w:t xml:space="preserve"> од три до десет години. Согласно член 186 § 2, ако делото од член 186 § 1 резултирало со сериозна телесна повреда, смрт или други сериозни последици, доколку е сторено од </w:t>
      </w:r>
      <w:r w:rsidR="0041699C" w:rsidRPr="00996776">
        <w:rPr>
          <w:lang w:val="mk-MK"/>
        </w:rPr>
        <w:lastRenderedPageBreak/>
        <w:t xml:space="preserve">повеќе лица или на особено суров и понижувачки начин, сторителот(ите) би можеле да бидат казнети со затвор </w:t>
      </w:r>
      <w:r w:rsidR="009040E4">
        <w:rPr>
          <w:lang w:val="mk-MK"/>
        </w:rPr>
        <w:t xml:space="preserve">од </w:t>
      </w:r>
      <w:r w:rsidR="0041699C" w:rsidRPr="00996776">
        <w:rPr>
          <w:lang w:val="mk-MK"/>
        </w:rPr>
        <w:t xml:space="preserve">најмалку четири години. </w:t>
      </w:r>
      <w:r w:rsidR="00C40124" w:rsidRPr="00996776">
        <w:rPr>
          <w:lang w:val="mk-MK"/>
        </w:rPr>
        <w:t xml:space="preserve">Според член 186 § 3, лицето кое присилило друго лице на </w:t>
      </w:r>
      <w:r w:rsidR="00A278CA">
        <w:rPr>
          <w:lang w:val="mk-MK"/>
        </w:rPr>
        <w:t>обљуба</w:t>
      </w:r>
      <w:r w:rsidR="00C40124" w:rsidRPr="00996776">
        <w:rPr>
          <w:lang w:val="mk-MK"/>
        </w:rPr>
        <w:t xml:space="preserve"> упатувајќи сериозни закани дека ќе открие нешто што би можело да </w:t>
      </w:r>
      <w:r w:rsidR="00A278CA" w:rsidRPr="00A278CA">
        <w:rPr>
          <w:lang w:val="mk-MK"/>
        </w:rPr>
        <w:t> ѝ</w:t>
      </w:r>
      <w:r w:rsidR="00C40124" w:rsidRPr="00996776">
        <w:rPr>
          <w:lang w:val="mk-MK"/>
        </w:rPr>
        <w:t xml:space="preserve"> наштети на честа или угледот на жртвата или да предизвика друг</w:t>
      </w:r>
      <w:r w:rsidR="00641CA8">
        <w:rPr>
          <w:lang w:val="mk-MK"/>
        </w:rPr>
        <w:t>о</w:t>
      </w:r>
      <w:r w:rsidR="00C40124" w:rsidRPr="00996776">
        <w:rPr>
          <w:lang w:val="mk-MK"/>
        </w:rPr>
        <w:t xml:space="preserve"> </w:t>
      </w:r>
      <w:r w:rsidR="00C40124" w:rsidRPr="00641CA8">
        <w:rPr>
          <w:lang w:val="mk-MK"/>
        </w:rPr>
        <w:t>зло</w:t>
      </w:r>
      <w:r w:rsidR="00C40124" w:rsidRPr="00996776">
        <w:rPr>
          <w:lang w:val="mk-MK"/>
        </w:rPr>
        <w:t>, ќе биде казнето со затвор од шест месеци до пет години. Според член 186 § 4, ако во случаите опишани во членовите 186 § § 1, 2 и 3, лицето извршило само „друго полово дејствие“</w:t>
      </w:r>
      <w:r w:rsidR="00641CA8">
        <w:rPr>
          <w:lang w:val="mk-MK"/>
        </w:rPr>
        <w:t xml:space="preserve">, </w:t>
      </w:r>
      <w:r w:rsidR="00C40124" w:rsidRPr="00996776">
        <w:rPr>
          <w:lang w:val="mk-MK"/>
        </w:rPr>
        <w:t>тој или таа ќе биде казнет со затвор од три месеци до десет години, во зависност од случајот.</w:t>
      </w:r>
    </w:p>
    <w:p w14:paraId="568183C3" w14:textId="1182411A"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21</w:t>
      </w:r>
      <w:r w:rsidRPr="00996776">
        <w:rPr>
          <w:noProof/>
          <w:lang w:val="mk-MK"/>
        </w:rPr>
        <w:fldChar w:fldCharType="end"/>
      </w:r>
      <w:r w:rsidRPr="00996776">
        <w:rPr>
          <w:lang w:val="mk-MK"/>
        </w:rPr>
        <w:t>.  </w:t>
      </w:r>
      <w:r w:rsidR="00C40124" w:rsidRPr="00996776">
        <w:rPr>
          <w:lang w:val="mk-MK"/>
        </w:rPr>
        <w:t xml:space="preserve">Член 188, кој важел во моментот на наводниот инцидент, предвидувал дека лицето кое извршило </w:t>
      </w:r>
      <w:r w:rsidR="00A278CA">
        <w:rPr>
          <w:lang w:val="mk-MK"/>
        </w:rPr>
        <w:t>обљуба</w:t>
      </w:r>
      <w:r w:rsidR="00C40124" w:rsidRPr="00996776">
        <w:rPr>
          <w:lang w:val="mk-MK"/>
        </w:rPr>
        <w:t xml:space="preserve"> или извршило „друго </w:t>
      </w:r>
      <w:r w:rsidR="0044064F">
        <w:rPr>
          <w:lang w:val="mk-MK"/>
        </w:rPr>
        <w:t>полово</w:t>
      </w:r>
      <w:r w:rsidR="00C40124" w:rsidRPr="00996776">
        <w:rPr>
          <w:lang w:val="mk-MK"/>
        </w:rPr>
        <w:t xml:space="preserve"> дејствие“ со малолетно лице помладо од 14 години ќе </w:t>
      </w:r>
      <w:r w:rsidR="00A278CA">
        <w:rPr>
          <w:lang w:val="mk-MK"/>
        </w:rPr>
        <w:t>добие</w:t>
      </w:r>
      <w:r w:rsidR="00C40124" w:rsidRPr="00996776">
        <w:rPr>
          <w:lang w:val="mk-MK"/>
        </w:rPr>
        <w:t xml:space="preserve"> </w:t>
      </w:r>
      <w:r w:rsidR="00A278CA">
        <w:rPr>
          <w:lang w:val="mk-MK"/>
        </w:rPr>
        <w:t xml:space="preserve">казна </w:t>
      </w:r>
      <w:r w:rsidR="00C40124" w:rsidRPr="00996776">
        <w:rPr>
          <w:lang w:val="mk-MK"/>
        </w:rPr>
        <w:t>затвор</w:t>
      </w:r>
      <w:r w:rsidR="00A278CA">
        <w:rPr>
          <w:lang w:val="mk-MK"/>
        </w:rPr>
        <w:t xml:space="preserve"> од</w:t>
      </w:r>
      <w:r w:rsidR="00C40124" w:rsidRPr="00996776">
        <w:rPr>
          <w:lang w:val="mk-MK"/>
        </w:rPr>
        <w:t xml:space="preserve"> најмалку осум години</w:t>
      </w:r>
      <w:r w:rsidRPr="00996776">
        <w:rPr>
          <w:lang w:val="mk-MK"/>
        </w:rPr>
        <w:t>.</w:t>
      </w:r>
    </w:p>
    <w:p w14:paraId="41A8A662" w14:textId="2E2F3AE1" w:rsidR="00795EF7" w:rsidRPr="00996776" w:rsidRDefault="00795EF7" w:rsidP="00C40124">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9" w:name="paragraph00023"/>
      <w:r w:rsidRPr="00996776">
        <w:rPr>
          <w:noProof/>
          <w:lang w:val="mk-MK"/>
        </w:rPr>
        <w:t>22</w:t>
      </w:r>
      <w:bookmarkEnd w:id="9"/>
      <w:r w:rsidRPr="00996776">
        <w:rPr>
          <w:noProof/>
          <w:lang w:val="mk-MK"/>
        </w:rPr>
        <w:fldChar w:fldCharType="end"/>
      </w:r>
      <w:r w:rsidRPr="00996776">
        <w:rPr>
          <w:lang w:val="mk-MK"/>
        </w:rPr>
        <w:t>.  </w:t>
      </w:r>
      <w:r w:rsidR="00C40124" w:rsidRPr="00996776">
        <w:rPr>
          <w:lang w:val="mk-MK"/>
        </w:rPr>
        <w:t xml:space="preserve">Во февруари 2023 година стапија на сила измените на Кривичниот законик, како резултат на кои </w:t>
      </w:r>
      <w:r w:rsidR="00E33BEA" w:rsidRPr="00E33BEA">
        <w:rPr>
          <w:lang w:val="mk-MK"/>
        </w:rPr>
        <w:t>неконсензуал</w:t>
      </w:r>
      <w:r w:rsidR="00422E86">
        <w:rPr>
          <w:lang w:val="mk-MK"/>
        </w:rPr>
        <w:t xml:space="preserve">но полово дејствие </w:t>
      </w:r>
      <w:r w:rsidR="00E33BEA" w:rsidRPr="00E33BEA">
        <w:rPr>
          <w:lang w:val="mk-MK"/>
        </w:rPr>
        <w:t>ко</w:t>
      </w:r>
      <w:r w:rsidR="00422E86">
        <w:rPr>
          <w:lang w:val="mk-MK"/>
        </w:rPr>
        <w:t>е</w:t>
      </w:r>
      <w:r w:rsidR="00E33BEA" w:rsidRPr="00E33BEA">
        <w:rPr>
          <w:lang w:val="mk-MK"/>
        </w:rPr>
        <w:t xml:space="preserve"> не претставува пенетрација</w:t>
      </w:r>
      <w:r w:rsidR="00C40124" w:rsidRPr="00996776">
        <w:rPr>
          <w:lang w:val="mk-MK"/>
        </w:rPr>
        <w:t xml:space="preserve"> сега се казнува со казна затвор од една до три години ако е извршено против лице над 15 години (член 186 § 7) и најмалку три години затвор ако е извршено против лице помладо од 15 години (член 188 § 5). Со измените се воведе и делото полово вознемирување (член 190-а).</w:t>
      </w:r>
    </w:p>
    <w:p w14:paraId="7E03CF92" w14:textId="6FF4FC6B" w:rsidR="00795EF7" w:rsidRPr="00996776" w:rsidRDefault="00676388" w:rsidP="00A21C42">
      <w:pPr>
        <w:pStyle w:val="JuHA"/>
        <w:rPr>
          <w:lang w:val="mk-MK"/>
        </w:rPr>
      </w:pPr>
      <w:bookmarkStart w:id="10" w:name="_Hlk192233702"/>
      <w:r w:rsidRPr="00996776">
        <w:rPr>
          <w:lang w:val="mk-MK"/>
        </w:rPr>
        <w:t xml:space="preserve">Закон за граѓанска одговорност за навреда и клевета </w:t>
      </w:r>
      <w:bookmarkEnd w:id="10"/>
      <w:r w:rsidRPr="00996776">
        <w:rPr>
          <w:lang w:val="mk-MK"/>
        </w:rPr>
        <w:t>(Службен весник бр. 143/2012)</w:t>
      </w:r>
    </w:p>
    <w:p w14:paraId="733F094D" w14:textId="53542273"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11" w:name="paragraph00022"/>
      <w:r w:rsidRPr="00996776">
        <w:rPr>
          <w:noProof/>
          <w:lang w:val="mk-MK"/>
        </w:rPr>
        <w:t>23</w:t>
      </w:r>
      <w:bookmarkEnd w:id="11"/>
      <w:r w:rsidRPr="00996776">
        <w:rPr>
          <w:noProof/>
          <w:lang w:val="mk-MK"/>
        </w:rPr>
        <w:fldChar w:fldCharType="end"/>
      </w:r>
      <w:r w:rsidRPr="00996776">
        <w:rPr>
          <w:lang w:val="mk-MK"/>
        </w:rPr>
        <w:t>.  </w:t>
      </w:r>
      <w:bookmarkStart w:id="12" w:name="_cl31033RELEVANTLEGALFRAMEWORKANDPRACTIC"/>
      <w:r w:rsidR="00ED3B81" w:rsidRPr="00996776">
        <w:rPr>
          <w:lang w:val="mk-MK"/>
        </w:rPr>
        <w:t xml:space="preserve">Законот за граѓанска одговорност за навреда и клевета, во сила помеѓу 22 ноември 2012 и 30 ноември 2022 година, беше сумиран во </w:t>
      </w:r>
      <w:r w:rsidRPr="00996776">
        <w:rPr>
          <w:i/>
          <w:iCs/>
          <w:lang w:val="mk-MK"/>
        </w:rPr>
        <w:t>Makraduli v. the former Yugoslav Republic of Macedonia</w:t>
      </w:r>
      <w:bookmarkEnd w:id="12"/>
      <w:r w:rsidRPr="00996776">
        <w:rPr>
          <w:lang w:val="mk-MK"/>
        </w:rPr>
        <w:t xml:space="preserve"> (</w:t>
      </w:r>
      <w:r w:rsidR="00E33BEA">
        <w:rPr>
          <w:lang w:val="mk-MK"/>
        </w:rPr>
        <w:t>бр</w:t>
      </w:r>
      <w:r w:rsidRPr="00996776">
        <w:rPr>
          <w:lang w:val="mk-MK"/>
        </w:rPr>
        <w:t xml:space="preserve">. 64659/11 </w:t>
      </w:r>
      <w:r w:rsidR="00E33BEA">
        <w:rPr>
          <w:lang w:val="mk-MK"/>
        </w:rPr>
        <w:t>и</w:t>
      </w:r>
      <w:r w:rsidRPr="00996776">
        <w:rPr>
          <w:lang w:val="mk-MK"/>
        </w:rPr>
        <w:t xml:space="preserve"> 24133/13, § 37, 19</w:t>
      </w:r>
      <w:r w:rsidR="00A75EA0" w:rsidRPr="00996776">
        <w:rPr>
          <w:lang w:val="mk-MK"/>
        </w:rPr>
        <w:t> </w:t>
      </w:r>
      <w:r w:rsidR="00ED3B81" w:rsidRPr="00996776">
        <w:rPr>
          <w:lang w:val="mk-MK"/>
        </w:rPr>
        <w:t>јули 2018 година). Дополнително, следните одредби се релевантни за случајот.</w:t>
      </w:r>
    </w:p>
    <w:p w14:paraId="5454B327" w14:textId="3EEDB0F3"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13" w:name="paragraph00024"/>
      <w:r w:rsidRPr="00996776">
        <w:rPr>
          <w:noProof/>
          <w:lang w:val="mk-MK"/>
        </w:rPr>
        <w:t>24</w:t>
      </w:r>
      <w:bookmarkEnd w:id="13"/>
      <w:r w:rsidRPr="00996776">
        <w:rPr>
          <w:noProof/>
          <w:lang w:val="mk-MK"/>
        </w:rPr>
        <w:fldChar w:fldCharType="end"/>
      </w:r>
      <w:r w:rsidRPr="00996776">
        <w:rPr>
          <w:lang w:val="mk-MK"/>
        </w:rPr>
        <w:t>.  </w:t>
      </w:r>
      <w:r w:rsidR="00902413">
        <w:rPr>
          <w:lang w:val="mk-MK"/>
        </w:rPr>
        <w:t>Член</w:t>
      </w:r>
      <w:r w:rsidR="002F6149" w:rsidRPr="00996776">
        <w:rPr>
          <w:lang w:val="mk-MK"/>
        </w:rPr>
        <w:t xml:space="preserve"> 3 предвидува дека ако судот не може да реши прашање поврзано со одговорноста за навреда или клевета со примена на одредбите од Законот, или смета дека постои правна празнина или конфликт помеѓу одредбите на Законот и Конвенцијата, тој ќе ја примени Конвенцијата и судската пракса на Судот врз основа на принципот на првенство на Конвенцијата над домашното законодавство</w:t>
      </w:r>
      <w:r w:rsidRPr="00996776">
        <w:rPr>
          <w:lang w:val="mk-MK"/>
        </w:rPr>
        <w:t>.</w:t>
      </w:r>
    </w:p>
    <w:p w14:paraId="5069B376" w14:textId="1E839F84"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25</w:t>
      </w:r>
      <w:r w:rsidRPr="00996776">
        <w:rPr>
          <w:noProof/>
          <w:lang w:val="mk-MK"/>
        </w:rPr>
        <w:fldChar w:fldCharType="end"/>
      </w:r>
      <w:r w:rsidRPr="00996776">
        <w:rPr>
          <w:lang w:val="mk-MK"/>
        </w:rPr>
        <w:t>.  </w:t>
      </w:r>
      <w:r w:rsidR="002F6149" w:rsidRPr="00996776">
        <w:rPr>
          <w:lang w:val="mk-MK"/>
        </w:rPr>
        <w:t xml:space="preserve">Врз основа на член 4(2), освен ако не е поинаку предвидено во Законот за граѓанска одговорност за навреда и клевета, одредбите од, </w:t>
      </w:r>
      <w:r w:rsidR="002F6149" w:rsidRPr="00E33BEA">
        <w:rPr>
          <w:i/>
          <w:iCs/>
          <w:lang w:val="mk-MK"/>
        </w:rPr>
        <w:t>меѓу другото</w:t>
      </w:r>
      <w:r w:rsidR="002F6149" w:rsidRPr="00996776">
        <w:rPr>
          <w:lang w:val="mk-MK"/>
        </w:rPr>
        <w:t>, Законот за облигациони односи и Законот за граѓанска постапка се применуваат на постапките за утврдување одговорност за навреда и клевета и за доделување надомест за штета</w:t>
      </w:r>
      <w:r w:rsidRPr="00996776">
        <w:rPr>
          <w:lang w:val="mk-MK"/>
        </w:rPr>
        <w:t>.</w:t>
      </w:r>
    </w:p>
    <w:p w14:paraId="02169CF9" w14:textId="44B728DE" w:rsidR="00795EF7" w:rsidRPr="00996776" w:rsidRDefault="00795EF7" w:rsidP="00A21C42">
      <w:pPr>
        <w:pStyle w:val="JuPara"/>
        <w:rPr>
          <w:rFonts w:ascii="Arial" w:eastAsia="Times New Roman" w:hAnsi="Arial" w:cs="Arial"/>
          <w:sz w:val="20"/>
          <w:szCs w:val="20"/>
          <w:lang w:val="mk-MK" w:eastAsia="fr-FR"/>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14" w:name="paragraph00026"/>
      <w:r w:rsidRPr="00996776">
        <w:rPr>
          <w:noProof/>
          <w:lang w:val="mk-MK"/>
        </w:rPr>
        <w:t>26</w:t>
      </w:r>
      <w:bookmarkEnd w:id="14"/>
      <w:r w:rsidRPr="00996776">
        <w:rPr>
          <w:noProof/>
          <w:lang w:val="mk-MK"/>
        </w:rPr>
        <w:fldChar w:fldCharType="end"/>
      </w:r>
      <w:r w:rsidRPr="00996776">
        <w:rPr>
          <w:lang w:val="mk-MK"/>
        </w:rPr>
        <w:t>.  </w:t>
      </w:r>
      <w:r w:rsidR="002F6149" w:rsidRPr="00996776">
        <w:rPr>
          <w:lang w:val="mk-MK"/>
        </w:rPr>
        <w:t xml:space="preserve">Според член 6, едно лице е одговорно за навреда ако тој или таа, со намера да понижи друго лице, изрази (по пат на изјава, однесување, </w:t>
      </w:r>
      <w:r w:rsidR="002F6149" w:rsidRPr="00996776">
        <w:rPr>
          <w:lang w:val="mk-MK"/>
        </w:rPr>
        <w:lastRenderedPageBreak/>
        <w:t>објавување или на друг начин) понижувачко мислење за тоа лице кое му наштетило на неговата или нејзината чест и углед.</w:t>
      </w:r>
    </w:p>
    <w:p w14:paraId="3890AD89" w14:textId="670414A9" w:rsidR="00795EF7" w:rsidRPr="00996776" w:rsidRDefault="002F6149" w:rsidP="00A21C42">
      <w:pPr>
        <w:pStyle w:val="JuHA"/>
        <w:rPr>
          <w:lang w:val="mk-MK"/>
        </w:rPr>
      </w:pPr>
      <w:r w:rsidRPr="00996776">
        <w:rPr>
          <w:lang w:val="mk-MK"/>
        </w:rPr>
        <w:t>Закон за облигационите односи (Службен весник бр. 18/2001, со дополнителни измени)</w:t>
      </w:r>
    </w:p>
    <w:p w14:paraId="215E39A4" w14:textId="24FEB791" w:rsidR="00795EF7" w:rsidRPr="00996776" w:rsidRDefault="00000000" w:rsidP="00A21C42">
      <w:pPr>
        <w:pStyle w:val="JuPara"/>
        <w:rPr>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bookmarkStart w:id="15" w:name="paragraph00027"/>
      <w:r w:rsidR="00A21C42" w:rsidRPr="00996776">
        <w:rPr>
          <w:rFonts w:cstheme="minorHAnsi"/>
          <w:noProof/>
          <w:lang w:val="mk-MK"/>
        </w:rPr>
        <w:t>27</w:t>
      </w:r>
      <w:bookmarkEnd w:id="15"/>
      <w:r w:rsidRPr="00996776">
        <w:rPr>
          <w:rFonts w:cstheme="minorHAnsi"/>
          <w:lang w:val="mk-MK"/>
        </w:rPr>
        <w:fldChar w:fldCharType="end"/>
      </w:r>
      <w:r w:rsidRPr="00996776">
        <w:rPr>
          <w:rFonts w:cstheme="minorHAnsi"/>
          <w:lang w:val="mk-MK"/>
        </w:rPr>
        <w:t>.  </w:t>
      </w:r>
      <w:r w:rsidR="002F6149" w:rsidRPr="00996776">
        <w:rPr>
          <w:rFonts w:cstheme="minorHAnsi"/>
          <w:lang w:val="mk-MK"/>
        </w:rPr>
        <w:t>Според член 9-а од Законот за облигациони односи, секое лице има право на заштита на неговите или нејзините лични права, кои меѓу другото го вклучуваат и правото на чест, углед и достоинство.</w:t>
      </w:r>
    </w:p>
    <w:p w14:paraId="36D5FD07" w14:textId="5DFF3419"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16" w:name="paragraph00028"/>
      <w:r w:rsidRPr="00996776">
        <w:rPr>
          <w:noProof/>
          <w:lang w:val="mk-MK"/>
        </w:rPr>
        <w:t>28</w:t>
      </w:r>
      <w:bookmarkEnd w:id="16"/>
      <w:r w:rsidRPr="00996776">
        <w:rPr>
          <w:noProof/>
          <w:lang w:val="mk-MK"/>
        </w:rPr>
        <w:fldChar w:fldCharType="end"/>
      </w:r>
      <w:r w:rsidRPr="00996776">
        <w:rPr>
          <w:lang w:val="mk-MK"/>
        </w:rPr>
        <w:t>.  </w:t>
      </w:r>
      <w:r w:rsidR="002F6149" w:rsidRPr="00996776">
        <w:rPr>
          <w:lang w:val="mk-MK"/>
        </w:rPr>
        <w:t>Член 189 дозволува лице чии лични права се повредени да бара надомест за нематеријална штета</w:t>
      </w:r>
      <w:r w:rsidRPr="00996776">
        <w:rPr>
          <w:lang w:val="mk-MK"/>
        </w:rPr>
        <w:t>.</w:t>
      </w:r>
    </w:p>
    <w:p w14:paraId="4A58D514" w14:textId="5AD4ED7F"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17" w:name="paragraph00029"/>
      <w:r w:rsidRPr="00996776">
        <w:rPr>
          <w:noProof/>
          <w:lang w:val="mk-MK"/>
        </w:rPr>
        <w:t>29</w:t>
      </w:r>
      <w:bookmarkEnd w:id="17"/>
      <w:r w:rsidRPr="00996776">
        <w:rPr>
          <w:noProof/>
          <w:lang w:val="mk-MK"/>
        </w:rPr>
        <w:fldChar w:fldCharType="end"/>
      </w:r>
      <w:r w:rsidRPr="00996776">
        <w:rPr>
          <w:lang w:val="mk-MK"/>
        </w:rPr>
        <w:t>.  </w:t>
      </w:r>
      <w:r w:rsidR="002F6149" w:rsidRPr="00996776">
        <w:rPr>
          <w:lang w:val="mk-MK"/>
        </w:rPr>
        <w:t>Член 191 му дозволува на лицето кое е жртва на кривично дело против полова слобода и полов, сторено со измама, принудување или злоупотреба на однос на подреденост или зависност, да бара надомест за нематеријална штета</w:t>
      </w:r>
      <w:r w:rsidRPr="00996776">
        <w:rPr>
          <w:lang w:val="mk-MK"/>
        </w:rPr>
        <w:t>.</w:t>
      </w:r>
    </w:p>
    <w:p w14:paraId="4CF32A72" w14:textId="78AD2203" w:rsidR="00795EF7" w:rsidRPr="00996776" w:rsidRDefault="002F6149" w:rsidP="00A21C42">
      <w:pPr>
        <w:pStyle w:val="JuHA"/>
        <w:rPr>
          <w:szCs w:val="26"/>
          <w:lang w:val="mk-MK"/>
        </w:rPr>
      </w:pPr>
      <w:r w:rsidRPr="00996776">
        <w:rPr>
          <w:lang w:val="mk-MK"/>
        </w:rPr>
        <w:t>Закон за судовите (Службен весник бр. 58/06, 35/2008, 150/10, 83/18, 198/18 и 96/19)</w:t>
      </w:r>
    </w:p>
    <w:p w14:paraId="27B02A83" w14:textId="146B59F3"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30</w:t>
      </w:r>
      <w:r w:rsidRPr="00996776">
        <w:rPr>
          <w:noProof/>
          <w:lang w:val="mk-MK"/>
        </w:rPr>
        <w:fldChar w:fldCharType="end"/>
      </w:r>
      <w:r w:rsidRPr="00996776">
        <w:rPr>
          <w:lang w:val="mk-MK"/>
        </w:rPr>
        <w:t>.  </w:t>
      </w:r>
      <w:r w:rsidR="002F6149" w:rsidRPr="00996776">
        <w:rPr>
          <w:lang w:val="mk-MK"/>
        </w:rPr>
        <w:t xml:space="preserve">Релевантните одредби од Законот за судови се сумирани во </w:t>
      </w:r>
      <w:r w:rsidRPr="00996776">
        <w:rPr>
          <w:i/>
          <w:iCs/>
          <w:lang w:val="mk-MK"/>
        </w:rPr>
        <w:t>Taleski</w:t>
      </w:r>
      <w:r w:rsidR="00BC55D9" w:rsidRPr="00996776">
        <w:rPr>
          <w:i/>
          <w:iCs/>
          <w:lang w:val="mk-MK"/>
        </w:rPr>
        <w:t xml:space="preserve"> </w:t>
      </w:r>
      <w:r w:rsidRPr="00996776">
        <w:rPr>
          <w:i/>
          <w:iCs/>
          <w:lang w:val="mk-MK"/>
        </w:rPr>
        <w:t>v. North Macedonia</w:t>
      </w:r>
      <w:r w:rsidRPr="00996776">
        <w:rPr>
          <w:lang w:val="mk-MK"/>
        </w:rPr>
        <w:t xml:space="preserve"> ((dec.), </w:t>
      </w:r>
      <w:r w:rsidR="002F6149" w:rsidRPr="00996776">
        <w:rPr>
          <w:lang w:val="mk-MK"/>
        </w:rPr>
        <w:t>бр</w:t>
      </w:r>
      <w:r w:rsidRPr="00996776">
        <w:rPr>
          <w:lang w:val="mk-MK"/>
        </w:rPr>
        <w:t>.</w:t>
      </w:r>
      <w:r w:rsidR="00A75EA0" w:rsidRPr="00996776">
        <w:rPr>
          <w:lang w:val="mk-MK"/>
        </w:rPr>
        <w:t xml:space="preserve"> 77796/17</w:t>
      </w:r>
      <w:r w:rsidRPr="00996776">
        <w:rPr>
          <w:lang w:val="mk-MK"/>
        </w:rPr>
        <w:t> </w:t>
      </w:r>
      <w:r w:rsidR="002F6149" w:rsidRPr="00996776">
        <w:rPr>
          <w:lang w:val="mk-MK"/>
        </w:rPr>
        <w:t>и пет други жалби, §§ 41, 44 и 46, 24 јануари 2023 година).</w:t>
      </w:r>
    </w:p>
    <w:p w14:paraId="2C5BA7ED" w14:textId="30EB6D20" w:rsidR="00795EF7" w:rsidRPr="00996776" w:rsidRDefault="002F6149" w:rsidP="00A21C42">
      <w:pPr>
        <w:pStyle w:val="JuHA"/>
        <w:rPr>
          <w:lang w:val="mk-MK"/>
        </w:rPr>
      </w:pPr>
      <w:r w:rsidRPr="00996776">
        <w:rPr>
          <w:lang w:val="mk-MK"/>
        </w:rPr>
        <w:t>Закон за кривичната постапка од 1997 година (Службен весник бр. 15/97, 44/02, 74/04, 83/08, 67/09 и 51/11)</w:t>
      </w:r>
    </w:p>
    <w:p w14:paraId="5345FBC0" w14:textId="76A9F629"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18" w:name="paragraph00031"/>
      <w:r w:rsidRPr="00996776">
        <w:rPr>
          <w:noProof/>
          <w:lang w:val="mk-MK"/>
        </w:rPr>
        <w:t>31</w:t>
      </w:r>
      <w:bookmarkEnd w:id="18"/>
      <w:r w:rsidRPr="00996776">
        <w:rPr>
          <w:noProof/>
          <w:lang w:val="mk-MK"/>
        </w:rPr>
        <w:fldChar w:fldCharType="end"/>
      </w:r>
      <w:r w:rsidRPr="00996776">
        <w:rPr>
          <w:lang w:val="mk-MK"/>
        </w:rPr>
        <w:t>.  </w:t>
      </w:r>
      <w:r w:rsidR="002F6149" w:rsidRPr="00996776">
        <w:rPr>
          <w:lang w:val="mk-MK"/>
        </w:rPr>
        <w:t>Член 56(2) од Законот за кривична постапка од 1997 година, кој важеше во моментот, и дозволи на жртвата на наводно дело да го преземе кривичното гонење во случаи кога јавниот обвинител не најде основа за гонење</w:t>
      </w:r>
      <w:r w:rsidRPr="00996776">
        <w:rPr>
          <w:lang w:val="mk-MK"/>
        </w:rPr>
        <w:t>.</w:t>
      </w:r>
    </w:p>
    <w:p w14:paraId="3ED7C79F" w14:textId="52C623F0" w:rsidR="00795EF7" w:rsidRPr="00996776" w:rsidRDefault="002F6149" w:rsidP="00A21C42">
      <w:pPr>
        <w:pStyle w:val="JuHA"/>
        <w:rPr>
          <w:lang w:val="mk-MK"/>
        </w:rPr>
      </w:pPr>
      <w:r w:rsidRPr="00996776">
        <w:rPr>
          <w:lang w:val="mk-MK"/>
        </w:rPr>
        <w:t>Закон за парничната постапка (Службен весник бр. 79/2005, 110/2008, 83/2009, 116/2010 и 124/2015)</w:t>
      </w:r>
    </w:p>
    <w:p w14:paraId="7711F48D" w14:textId="65DCE285" w:rsidR="00795EF7" w:rsidRPr="002622CC"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32</w:t>
      </w:r>
      <w:r w:rsidRPr="00996776">
        <w:rPr>
          <w:noProof/>
          <w:lang w:val="mk-MK"/>
        </w:rPr>
        <w:fldChar w:fldCharType="end"/>
      </w:r>
      <w:r w:rsidRPr="00996776">
        <w:rPr>
          <w:lang w:val="mk-MK"/>
        </w:rPr>
        <w:t>.  </w:t>
      </w:r>
      <w:r w:rsidR="002F6149" w:rsidRPr="00996776">
        <w:rPr>
          <w:lang w:val="mk-MK"/>
        </w:rPr>
        <w:t>Член 2(1) од Законот за парничната постапка предвидува дека судовите донесуваат одлуки во рамките на границите на барањата поднесени пред нив.</w:t>
      </w:r>
    </w:p>
    <w:p w14:paraId="06DFC49B" w14:textId="423BB583"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33</w:t>
      </w:r>
      <w:r w:rsidRPr="00996776">
        <w:rPr>
          <w:noProof/>
          <w:lang w:val="mk-MK"/>
        </w:rPr>
        <w:fldChar w:fldCharType="end"/>
      </w:r>
      <w:r w:rsidRPr="00996776">
        <w:rPr>
          <w:lang w:val="mk-MK"/>
        </w:rPr>
        <w:t>.  </w:t>
      </w:r>
      <w:r w:rsidR="002F6149" w:rsidRPr="00996776">
        <w:rPr>
          <w:lang w:val="mk-MK"/>
        </w:rPr>
        <w:t xml:space="preserve">Член 176(3) предвидува дека судот ќе одлучува </w:t>
      </w:r>
      <w:r w:rsidR="003F7E87">
        <w:rPr>
          <w:lang w:val="mk-MK"/>
        </w:rPr>
        <w:t xml:space="preserve">по тужбата </w:t>
      </w:r>
      <w:r w:rsidR="002F6149" w:rsidRPr="00996776">
        <w:rPr>
          <w:lang w:val="mk-MK"/>
        </w:rPr>
        <w:t xml:space="preserve">дури и кога тужителот не ги навел правните основи за тоа барање; ако тужителот ги дал </w:t>
      </w:r>
      <w:r w:rsidR="003F7E87">
        <w:rPr>
          <w:lang w:val="mk-MK"/>
        </w:rPr>
        <w:t>правните</w:t>
      </w:r>
      <w:r w:rsidR="002F6149" w:rsidRPr="00996776">
        <w:rPr>
          <w:lang w:val="mk-MK"/>
        </w:rPr>
        <w:t xml:space="preserve"> основи, судот не е обврзан со нив.</w:t>
      </w:r>
    </w:p>
    <w:p w14:paraId="518619B1" w14:textId="51338762" w:rsidR="00795EF7" w:rsidRPr="00996776" w:rsidRDefault="00576831" w:rsidP="00A21C42">
      <w:pPr>
        <w:pStyle w:val="JuHIRoman"/>
        <w:rPr>
          <w:lang w:val="mk-MK"/>
        </w:rPr>
      </w:pPr>
      <w:r w:rsidRPr="00996776">
        <w:rPr>
          <w:caps w:val="0"/>
          <w:lang w:val="mk-MK"/>
        </w:rPr>
        <w:lastRenderedPageBreak/>
        <w:t>РЕЛЕВАНТНО МЕЃУНАРОДНО ЗАКОНОДАВСТВО</w:t>
      </w:r>
    </w:p>
    <w:p w14:paraId="20947BA9" w14:textId="7F27EA26" w:rsidR="00795EF7" w:rsidRPr="00996776" w:rsidRDefault="00576831" w:rsidP="00A21C42">
      <w:pPr>
        <w:pStyle w:val="JuHA"/>
        <w:rPr>
          <w:lang w:val="mk-MK"/>
        </w:rPr>
      </w:pPr>
      <w:r w:rsidRPr="00996776">
        <w:rPr>
          <w:lang w:val="mk-MK"/>
        </w:rPr>
        <w:t>Обединети нации</w:t>
      </w:r>
    </w:p>
    <w:p w14:paraId="7B58CC7F" w14:textId="235ACD3A"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19" w:name="paragraph00035"/>
      <w:r w:rsidRPr="00996776">
        <w:rPr>
          <w:noProof/>
          <w:lang w:val="mk-MK"/>
        </w:rPr>
        <w:t>34</w:t>
      </w:r>
      <w:bookmarkEnd w:id="19"/>
      <w:r w:rsidRPr="00996776">
        <w:rPr>
          <w:noProof/>
          <w:lang w:val="mk-MK"/>
        </w:rPr>
        <w:fldChar w:fldCharType="end"/>
      </w:r>
      <w:r w:rsidRPr="00996776">
        <w:rPr>
          <w:lang w:val="mk-MK"/>
        </w:rPr>
        <w:t>.  </w:t>
      </w:r>
      <w:r w:rsidR="00576831" w:rsidRPr="00996776">
        <w:rPr>
          <w:lang w:val="mk-MK"/>
        </w:rPr>
        <w:t>Конвенцијата на Обединетите нации за правата на детето беше усвоена на 20 ноември 1989 година и тужената држава пристапи кон неа по пат на сукцесија на 2 декември 1993 година. Член 19 од таа Конвенција гласи како што следува:</w:t>
      </w:r>
    </w:p>
    <w:p w14:paraId="18AA16A1" w14:textId="2F21D967" w:rsidR="00795EF7" w:rsidRPr="00996776" w:rsidRDefault="00576831" w:rsidP="00A21C42">
      <w:pPr>
        <w:pStyle w:val="JuHArticle"/>
        <w:rPr>
          <w:lang w:val="mk-MK"/>
        </w:rPr>
      </w:pPr>
      <w:bookmarkStart w:id="20" w:name="lt_pId729"/>
      <w:r w:rsidRPr="00996776">
        <w:rPr>
          <w:lang w:val="mk-MK"/>
        </w:rPr>
        <w:t>Член 19</w:t>
      </w:r>
      <w:bookmarkEnd w:id="20"/>
    </w:p>
    <w:p w14:paraId="0CF7F079" w14:textId="0F4A4406" w:rsidR="00576831" w:rsidRPr="00996776" w:rsidRDefault="00000000" w:rsidP="00576831">
      <w:pPr>
        <w:pStyle w:val="JuQuot"/>
        <w:rPr>
          <w:lang w:val="mk-MK"/>
        </w:rPr>
      </w:pPr>
      <w:bookmarkStart w:id="21" w:name="lt_pId731"/>
      <w:r w:rsidRPr="00996776">
        <w:rPr>
          <w:lang w:val="mk-MK"/>
        </w:rPr>
        <w:t> </w:t>
      </w:r>
      <w:bookmarkStart w:id="22" w:name="lt_pId733"/>
      <w:bookmarkEnd w:id="21"/>
      <w:r w:rsidR="00576831" w:rsidRPr="00996776">
        <w:rPr>
          <w:lang w:val="mk-MK"/>
        </w:rPr>
        <w:t>„1. Државите членки ќе ги преземат сите соодветни законодавни, административни, социјални и образовни мерки за да го заштитат детето од сите форми на физичко или ментално насилство, повреда или злоупотреба, занемарување или несовесно постапување, малтретирање или експлоатација, вклучително и полова злоупотреба, додека е под грижа на родители, законски старатели или кое било друго лице кое се грижи за детето.</w:t>
      </w:r>
    </w:p>
    <w:p w14:paraId="4BD29E31" w14:textId="1ED0F82C" w:rsidR="00795EF7" w:rsidRPr="00996776" w:rsidRDefault="00576831" w:rsidP="00576831">
      <w:pPr>
        <w:pStyle w:val="JuQuot"/>
        <w:rPr>
          <w:lang w:val="mk-MK"/>
        </w:rPr>
      </w:pPr>
      <w:r w:rsidRPr="00996776">
        <w:rPr>
          <w:lang w:val="mk-MK"/>
        </w:rPr>
        <w:t>2. Таквите заштитни мерки треба, како што е соодветно, да вклучуваат ефективни процедури за воспоставување социјални програми за да се обезбеди потребната поддршка за детето и за оние кои се грижат за детето, како и за други форми на превенција и за идентификација, пријавување, упатување, истрага, третман и следење на случаите на малтретирање деца опишани досега, и, како што е соодветно, за судска инволвираност..”</w:t>
      </w:r>
      <w:bookmarkEnd w:id="22"/>
    </w:p>
    <w:p w14:paraId="6A0B9431" w14:textId="3293FD67" w:rsidR="00795EF7" w:rsidRPr="00996776" w:rsidRDefault="00795EF7" w:rsidP="00A21C42">
      <w:pPr>
        <w:pStyle w:val="JuPara"/>
        <w:rPr>
          <w:rStyle w:val="JuParaCha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23" w:name="paragraph00036"/>
      <w:r w:rsidRPr="00996776">
        <w:rPr>
          <w:noProof/>
          <w:lang w:val="mk-MK"/>
        </w:rPr>
        <w:t>35</w:t>
      </w:r>
      <w:bookmarkEnd w:id="23"/>
      <w:r w:rsidRPr="00996776">
        <w:rPr>
          <w:noProof/>
          <w:lang w:val="mk-MK"/>
        </w:rPr>
        <w:fldChar w:fldCharType="end"/>
      </w:r>
      <w:r w:rsidRPr="00996776">
        <w:rPr>
          <w:lang w:val="mk-MK"/>
        </w:rPr>
        <w:t>.  </w:t>
      </w:r>
      <w:r w:rsidR="00576831" w:rsidRPr="00996776">
        <w:rPr>
          <w:rStyle w:val="JuParaChar"/>
          <w:lang w:val="mk-MK"/>
        </w:rPr>
        <w:t>Комитетот за правата на детето го следи спроведувањето на Конвенцијата за правата на детето. Во својот општ коментар бр. 13 од 18 април 2011 година, насловен „Правото на детето на слобода од сите форми на насилство“, Комитетот го наведе следново</w:t>
      </w:r>
      <w:r w:rsidRPr="00996776">
        <w:rPr>
          <w:rStyle w:val="JuParaChar"/>
          <w:lang w:val="mk-MK"/>
        </w:rPr>
        <w:t>:</w:t>
      </w:r>
    </w:p>
    <w:p w14:paraId="59410633" w14:textId="69EC1C27" w:rsidR="00795EF7" w:rsidRPr="00996776" w:rsidRDefault="00000000" w:rsidP="00A21C42">
      <w:pPr>
        <w:pStyle w:val="JuPara"/>
        <w:rPr>
          <w:lang w:val="mk-MK"/>
        </w:rPr>
      </w:pPr>
      <w:r w:rsidRPr="00996776">
        <w:rPr>
          <w:lang w:val="mk-MK"/>
        </w:rPr>
        <w:t xml:space="preserve">“25. </w:t>
      </w:r>
      <w:r w:rsidR="00576831" w:rsidRPr="00996776">
        <w:rPr>
          <w:lang w:val="mk-MK"/>
        </w:rPr>
        <w:t xml:space="preserve">Полова злоупотреба и експлоатација. </w:t>
      </w:r>
      <w:r w:rsidR="00E33BEA">
        <w:rPr>
          <w:lang w:val="mk-MK"/>
        </w:rPr>
        <w:t>П</w:t>
      </w:r>
      <w:r w:rsidR="00576831" w:rsidRPr="00996776">
        <w:rPr>
          <w:lang w:val="mk-MK"/>
        </w:rPr>
        <w:t>олова злоупотреба и експлоатација вклучува:</w:t>
      </w:r>
    </w:p>
    <w:p w14:paraId="2E97A9AC" w14:textId="419959FD" w:rsidR="00795EF7" w:rsidRPr="00996776" w:rsidRDefault="00000000" w:rsidP="00A21C42">
      <w:pPr>
        <w:pStyle w:val="JuQuot"/>
        <w:rPr>
          <w:lang w:val="mk-MK"/>
        </w:rPr>
      </w:pPr>
      <w:r w:rsidRPr="00996776">
        <w:rPr>
          <w:lang w:val="mk-MK"/>
        </w:rPr>
        <w:t xml:space="preserve">(a) </w:t>
      </w:r>
      <w:r w:rsidR="00576831" w:rsidRPr="00996776">
        <w:rPr>
          <w:lang w:val="mk-MK"/>
        </w:rPr>
        <w:t>Поттикнување или принудување на дете да се вклучи во какв</w:t>
      </w:r>
      <w:r w:rsidR="00422E86">
        <w:rPr>
          <w:lang w:val="mk-MK"/>
        </w:rPr>
        <w:t>о</w:t>
      </w:r>
      <w:r w:rsidR="00576831" w:rsidRPr="00996776">
        <w:rPr>
          <w:lang w:val="mk-MK"/>
        </w:rPr>
        <w:t xml:space="preserve"> било незаконск</w:t>
      </w:r>
      <w:r w:rsidR="00422E86">
        <w:rPr>
          <w:lang w:val="mk-MK"/>
        </w:rPr>
        <w:t>о</w:t>
      </w:r>
      <w:r w:rsidR="00576831" w:rsidRPr="00996776">
        <w:rPr>
          <w:lang w:val="mk-MK"/>
        </w:rPr>
        <w:t xml:space="preserve"> или психолошк</w:t>
      </w:r>
      <w:r w:rsidR="00422E86">
        <w:rPr>
          <w:lang w:val="mk-MK"/>
        </w:rPr>
        <w:t>о</w:t>
      </w:r>
      <w:r w:rsidR="00576831" w:rsidRPr="00996776">
        <w:rPr>
          <w:lang w:val="mk-MK"/>
        </w:rPr>
        <w:t xml:space="preserve"> штет</w:t>
      </w:r>
      <w:r w:rsidR="00422E86">
        <w:rPr>
          <w:lang w:val="mk-MK"/>
        </w:rPr>
        <w:t>но</w:t>
      </w:r>
      <w:r w:rsidR="00576831" w:rsidRPr="00996776">
        <w:rPr>
          <w:lang w:val="mk-MK"/>
        </w:rPr>
        <w:t xml:space="preserve"> поло</w:t>
      </w:r>
      <w:r w:rsidR="00422E86">
        <w:rPr>
          <w:lang w:val="mk-MK"/>
        </w:rPr>
        <w:t>во дејствие</w:t>
      </w:r>
      <w:r w:rsidR="00576831" w:rsidRPr="00996776">
        <w:rPr>
          <w:lang w:val="mk-MK"/>
        </w:rPr>
        <w:t xml:space="preserve">; [фуснота: „Половата злоупотреба ги опфаќа сите полови </w:t>
      </w:r>
      <w:r w:rsidR="00422E86">
        <w:rPr>
          <w:lang w:val="mk-MK"/>
        </w:rPr>
        <w:t>дејствија</w:t>
      </w:r>
      <w:r w:rsidR="00576831" w:rsidRPr="00996776">
        <w:rPr>
          <w:lang w:val="mk-MK"/>
        </w:rPr>
        <w:t xml:space="preserve"> наметнати од возрасен на дете, против кои детето има право на заштита со кривичното право</w:t>
      </w:r>
      <w:r w:rsidRPr="00996776">
        <w:rPr>
          <w:lang w:val="mk-MK"/>
        </w:rPr>
        <w:t>...</w:t>
      </w:r>
      <w:r w:rsidR="00A21C42" w:rsidRPr="00996776">
        <w:rPr>
          <w:lang w:val="mk-MK"/>
        </w:rPr>
        <w:t>’</w:t>
      </w:r>
      <w:r w:rsidRPr="00996776">
        <w:rPr>
          <w:lang w:val="mk-MK"/>
        </w:rPr>
        <w:t>]</w:t>
      </w:r>
    </w:p>
    <w:p w14:paraId="0B54E87B" w14:textId="77777777" w:rsidR="00795EF7" w:rsidRPr="00996776" w:rsidRDefault="00000000" w:rsidP="00A21C42">
      <w:pPr>
        <w:pStyle w:val="JuQuot"/>
        <w:rPr>
          <w:lang w:val="mk-MK"/>
        </w:rPr>
      </w:pPr>
      <w:r w:rsidRPr="00996776">
        <w:rPr>
          <w:lang w:val="mk-MK"/>
        </w:rPr>
        <w:t>...</w:t>
      </w:r>
    </w:p>
    <w:p w14:paraId="5367649D" w14:textId="2AEB5B9F" w:rsidR="00795EF7" w:rsidRPr="00996776" w:rsidRDefault="00000000" w:rsidP="00A21C42">
      <w:pPr>
        <w:pStyle w:val="JuQuot"/>
        <w:rPr>
          <w:lang w:val="mk-MK"/>
        </w:rPr>
      </w:pPr>
      <w:r w:rsidRPr="00996776">
        <w:rPr>
          <w:lang w:val="mk-MK"/>
        </w:rPr>
        <w:t xml:space="preserve">(d) ... </w:t>
      </w:r>
      <w:r w:rsidR="00576831" w:rsidRPr="00996776">
        <w:rPr>
          <w:lang w:val="mk-MK"/>
        </w:rPr>
        <w:t>Многу деца доживуваат полова виктимизација која не е придружена со физичка сила или ограничување, но сепак е психолошки наметлива, експлоататорска и трауматична.</w:t>
      </w:r>
      <w:r w:rsidRPr="00996776">
        <w:rPr>
          <w:lang w:val="mk-MK"/>
        </w:rPr>
        <w:t>.”</w:t>
      </w:r>
    </w:p>
    <w:p w14:paraId="408BC223" w14:textId="536CCB19"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24" w:name="paragraph00037"/>
      <w:r w:rsidRPr="00996776">
        <w:rPr>
          <w:noProof/>
          <w:lang w:val="mk-MK"/>
        </w:rPr>
        <w:t>36</w:t>
      </w:r>
      <w:bookmarkEnd w:id="24"/>
      <w:r w:rsidRPr="00996776">
        <w:rPr>
          <w:noProof/>
          <w:lang w:val="mk-MK"/>
        </w:rPr>
        <w:fldChar w:fldCharType="end"/>
      </w:r>
      <w:r w:rsidRPr="00996776">
        <w:rPr>
          <w:lang w:val="mk-MK"/>
        </w:rPr>
        <w:t>.  </w:t>
      </w:r>
      <w:r w:rsidR="00576831" w:rsidRPr="00996776">
        <w:rPr>
          <w:lang w:val="mk-MK"/>
        </w:rPr>
        <w:t>Во документот насловен „Статистичка слика на насилството врз адолесцентните девојки“ (Њујорк, 2014), УНИЦЕФ го забележа следново</w:t>
      </w:r>
      <w:r w:rsidRPr="00996776">
        <w:rPr>
          <w:lang w:val="mk-MK"/>
        </w:rPr>
        <w:t>:</w:t>
      </w:r>
    </w:p>
    <w:p w14:paraId="4CA39028" w14:textId="452BAD20" w:rsidR="00795EF7" w:rsidRPr="00996776" w:rsidRDefault="00576831" w:rsidP="00A21C42">
      <w:pPr>
        <w:pStyle w:val="JuQuot"/>
        <w:rPr>
          <w:lang w:val="mk-MK"/>
        </w:rPr>
      </w:pPr>
      <w:r w:rsidRPr="00996776">
        <w:rPr>
          <w:lang w:val="mk-MK"/>
        </w:rPr>
        <w:t>„Адолесценцијата може да биде период на зголемена ранливост на половата виктимизација надвор од домот преку зголемена изложеност и на странци и на врсници, вторите во контекст и на пријателството и на интимните односи [референцата е испуштена]. Особено адолесцентките може да наидат на повеќе несакани или упорни полови достигнувања додека физички созреваат и почнуваат да преземаат полов идентитет “.</w:t>
      </w:r>
    </w:p>
    <w:p w14:paraId="39DE2766" w14:textId="17D225CF" w:rsidR="00795EF7" w:rsidRPr="00996776" w:rsidRDefault="00576831" w:rsidP="00A21C42">
      <w:pPr>
        <w:pStyle w:val="JuHA"/>
        <w:rPr>
          <w:rFonts w:ascii="Arial" w:hAnsi="Arial" w:cs="Arial"/>
          <w:color w:val="000000"/>
          <w:lang w:val="mk-MK"/>
        </w:rPr>
      </w:pPr>
      <w:r w:rsidRPr="00996776">
        <w:rPr>
          <w:lang w:val="mk-MK"/>
        </w:rPr>
        <w:lastRenderedPageBreak/>
        <w:t>Совет на Европа</w:t>
      </w:r>
    </w:p>
    <w:p w14:paraId="1A9A37DE" w14:textId="28EB7586" w:rsidR="00795EF7" w:rsidRPr="00996776" w:rsidRDefault="00576831" w:rsidP="00A21C42">
      <w:pPr>
        <w:pStyle w:val="JuH1"/>
        <w:rPr>
          <w:lang w:val="mk-MK"/>
        </w:rPr>
      </w:pPr>
      <w:r w:rsidRPr="00996776">
        <w:rPr>
          <w:lang w:val="mk-MK"/>
        </w:rPr>
        <w:t xml:space="preserve">Конвенција на Советот на Европа за заштита на децата од </w:t>
      </w:r>
      <w:r w:rsidR="000B7D1C" w:rsidRPr="00996776">
        <w:rPr>
          <w:lang w:val="mk-MK"/>
        </w:rPr>
        <w:t>полова</w:t>
      </w:r>
      <w:r w:rsidRPr="00996776">
        <w:rPr>
          <w:lang w:val="mk-MK"/>
        </w:rPr>
        <w:t xml:space="preserve"> експлоатација и </w:t>
      </w:r>
      <w:r w:rsidR="000B7D1C" w:rsidRPr="00996776">
        <w:rPr>
          <w:lang w:val="mk-MK"/>
        </w:rPr>
        <w:t>полова</w:t>
      </w:r>
      <w:r w:rsidRPr="00996776">
        <w:rPr>
          <w:lang w:val="mk-MK"/>
        </w:rPr>
        <w:t xml:space="preserve"> злоупотреба (CETS бр. 201, „Конвенција Ланзароте”)</w:t>
      </w:r>
    </w:p>
    <w:bookmarkStart w:id="25" w:name="lt_pId752"/>
    <w:p w14:paraId="295E01E3" w14:textId="3BC3F913"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00A21C42" w:rsidRPr="00996776">
        <w:rPr>
          <w:noProof/>
          <w:lang w:val="mk-MK"/>
        </w:rPr>
        <w:t>37</w:t>
      </w:r>
      <w:r w:rsidRPr="00996776">
        <w:rPr>
          <w:lang w:val="mk-MK"/>
        </w:rPr>
        <w:fldChar w:fldCharType="end"/>
      </w:r>
      <w:r w:rsidRPr="00996776">
        <w:rPr>
          <w:lang w:val="mk-MK"/>
        </w:rPr>
        <w:t>.  </w:t>
      </w:r>
      <w:bookmarkStart w:id="26" w:name="_cl40425RELEVANTLEGALFRAMEWORK"/>
      <w:bookmarkEnd w:id="25"/>
      <w:r w:rsidR="000B7D1C" w:rsidRPr="00996776">
        <w:rPr>
          <w:lang w:val="mk-MK"/>
        </w:rPr>
        <w:t xml:space="preserve">Конвенцијата </w:t>
      </w:r>
      <w:r w:rsidR="00E33BEA">
        <w:rPr>
          <w:lang w:val="mk-MK"/>
        </w:rPr>
        <w:t xml:space="preserve">од </w:t>
      </w:r>
      <w:r w:rsidR="000B7D1C" w:rsidRPr="00996776">
        <w:rPr>
          <w:lang w:val="mk-MK"/>
        </w:rPr>
        <w:t>Ланзароте стапи на сила во однос на тужената држава на 1 октомври 2012 година. Таа беше сумирана во</w:t>
      </w:r>
      <w:r w:rsidR="00E33BEA">
        <w:rPr>
          <w:lang w:val="mk-MK"/>
        </w:rPr>
        <w:t xml:space="preserve"> </w:t>
      </w:r>
      <w:r w:rsidRPr="00996776">
        <w:rPr>
          <w:i/>
          <w:iCs/>
          <w:lang w:val="mk-MK"/>
        </w:rPr>
        <w:t>X and Others v.</w:t>
      </w:r>
      <w:r w:rsidR="00BC55D9" w:rsidRPr="00996776">
        <w:rPr>
          <w:i/>
          <w:iCs/>
          <w:lang w:val="mk-MK"/>
        </w:rPr>
        <w:t> </w:t>
      </w:r>
      <w:r w:rsidRPr="00996776">
        <w:rPr>
          <w:i/>
          <w:iCs/>
          <w:lang w:val="mk-MK"/>
        </w:rPr>
        <w:t>Bulgari</w:t>
      </w:r>
      <w:bookmarkEnd w:id="26"/>
      <w:r w:rsidRPr="00996776">
        <w:rPr>
          <w:i/>
          <w:iCs/>
          <w:lang w:val="mk-MK"/>
        </w:rPr>
        <w:t>a</w:t>
      </w:r>
      <w:r w:rsidRPr="00996776">
        <w:rPr>
          <w:lang w:val="mk-MK"/>
        </w:rPr>
        <w:t xml:space="preserve"> ([GC], </w:t>
      </w:r>
      <w:r w:rsidR="000B7D1C" w:rsidRPr="00996776">
        <w:rPr>
          <w:lang w:val="mk-MK"/>
        </w:rPr>
        <w:t>бр</w:t>
      </w:r>
      <w:r w:rsidRPr="00996776">
        <w:rPr>
          <w:lang w:val="mk-MK"/>
        </w:rPr>
        <w:t xml:space="preserve">. 22457/16, § 127,  </w:t>
      </w:r>
      <w:r w:rsidR="000B7D1C" w:rsidRPr="00996776">
        <w:rPr>
          <w:lang w:val="mk-MK"/>
        </w:rPr>
        <w:t>2 февруари 2021 година). Член 18 од таа Конвенција гласи како што следува</w:t>
      </w:r>
      <w:r w:rsidRPr="00996776">
        <w:rPr>
          <w:lang w:val="mk-MK"/>
        </w:rPr>
        <w:t>:</w:t>
      </w:r>
    </w:p>
    <w:p w14:paraId="167B2AD3" w14:textId="3B983B10" w:rsidR="00795EF7" w:rsidRPr="00996776" w:rsidRDefault="000B7D1C" w:rsidP="00A21C42">
      <w:pPr>
        <w:pStyle w:val="JuHArticle"/>
        <w:rPr>
          <w:lang w:val="mk-MK"/>
        </w:rPr>
      </w:pPr>
      <w:bookmarkStart w:id="27" w:name="lt_pId777"/>
      <w:r w:rsidRPr="00996776">
        <w:rPr>
          <w:lang w:val="mk-MK"/>
        </w:rPr>
        <w:t>Член 18 – Полова злоупотреба</w:t>
      </w:r>
      <w:bookmarkEnd w:id="27"/>
    </w:p>
    <w:p w14:paraId="66FC7BE2" w14:textId="1ED23B29" w:rsidR="000B7D1C" w:rsidRPr="00996776" w:rsidRDefault="000B7D1C" w:rsidP="000B7D1C">
      <w:pPr>
        <w:pStyle w:val="JuQuot"/>
        <w:ind w:left="0" w:firstLine="0"/>
        <w:rPr>
          <w:lang w:val="mk-MK"/>
        </w:rPr>
      </w:pPr>
      <w:r w:rsidRPr="00996776">
        <w:rPr>
          <w:lang w:val="mk-MK"/>
        </w:rPr>
        <w:t xml:space="preserve">„1. Секоја </w:t>
      </w:r>
      <w:r w:rsidR="00E33BEA">
        <w:rPr>
          <w:lang w:val="mk-MK"/>
        </w:rPr>
        <w:t>с</w:t>
      </w:r>
      <w:r w:rsidRPr="00996776">
        <w:rPr>
          <w:lang w:val="mk-MK"/>
        </w:rPr>
        <w:t>трана ќе ги преземе неопходните законодавни или други мерки за да се осигур</w:t>
      </w:r>
      <w:r w:rsidR="00E33BEA">
        <w:rPr>
          <w:lang w:val="mk-MK"/>
        </w:rPr>
        <w:t>и</w:t>
      </w:r>
      <w:r w:rsidRPr="00996776">
        <w:rPr>
          <w:lang w:val="mk-MK"/>
        </w:rPr>
        <w:t xml:space="preserve"> дека следното намерно однесување е криминализирано:</w:t>
      </w:r>
    </w:p>
    <w:p w14:paraId="7F298788" w14:textId="45EE0133" w:rsidR="000B7D1C" w:rsidRPr="00E33BEA" w:rsidRDefault="000B7D1C" w:rsidP="000B7D1C">
      <w:pPr>
        <w:pStyle w:val="JuQuot"/>
        <w:rPr>
          <w:sz w:val="18"/>
          <w:szCs w:val="22"/>
          <w:lang w:val="mk-MK"/>
        </w:rPr>
      </w:pPr>
      <w:r w:rsidRPr="00E33BEA">
        <w:rPr>
          <w:sz w:val="18"/>
          <w:szCs w:val="22"/>
          <w:lang w:val="mk-MK"/>
        </w:rPr>
        <w:t xml:space="preserve">(а) вклучување во полови </w:t>
      </w:r>
      <w:r w:rsidR="00422E86">
        <w:rPr>
          <w:sz w:val="18"/>
          <w:szCs w:val="22"/>
          <w:lang w:val="mk-MK"/>
        </w:rPr>
        <w:t>дејствија</w:t>
      </w:r>
      <w:r w:rsidRPr="00E33BEA">
        <w:rPr>
          <w:sz w:val="18"/>
          <w:szCs w:val="22"/>
          <w:lang w:val="mk-MK"/>
        </w:rPr>
        <w:t xml:space="preserve"> со дете кое, според релевантните одредби на националното законодавство, не ја достигнало дозволената возраст за полови </w:t>
      </w:r>
      <w:r w:rsidR="00422E86">
        <w:rPr>
          <w:sz w:val="18"/>
          <w:szCs w:val="22"/>
          <w:lang w:val="mk-MK"/>
        </w:rPr>
        <w:t>дејствија</w:t>
      </w:r>
      <w:r w:rsidRPr="00E33BEA">
        <w:rPr>
          <w:sz w:val="18"/>
          <w:szCs w:val="22"/>
          <w:lang w:val="mk-MK"/>
        </w:rPr>
        <w:t>;</w:t>
      </w:r>
    </w:p>
    <w:p w14:paraId="774164F6" w14:textId="1490D748" w:rsidR="000B7D1C" w:rsidRPr="00E33BEA" w:rsidRDefault="000B7D1C" w:rsidP="000B7D1C">
      <w:pPr>
        <w:pStyle w:val="JuQuot"/>
        <w:rPr>
          <w:sz w:val="18"/>
          <w:szCs w:val="22"/>
          <w:lang w:val="mk-MK"/>
        </w:rPr>
      </w:pPr>
      <w:r w:rsidRPr="00E33BEA">
        <w:rPr>
          <w:sz w:val="18"/>
          <w:szCs w:val="22"/>
          <w:lang w:val="mk-MK"/>
        </w:rPr>
        <w:t xml:space="preserve">(б) вклучување во полови </w:t>
      </w:r>
      <w:r w:rsidR="00422E86">
        <w:rPr>
          <w:sz w:val="18"/>
          <w:szCs w:val="22"/>
          <w:lang w:val="mk-MK"/>
        </w:rPr>
        <w:t>дејствија</w:t>
      </w:r>
      <w:r w:rsidRPr="00E33BEA">
        <w:rPr>
          <w:sz w:val="18"/>
          <w:szCs w:val="22"/>
          <w:lang w:val="mk-MK"/>
        </w:rPr>
        <w:t xml:space="preserve"> со дете каде што:</w:t>
      </w:r>
    </w:p>
    <w:p w14:paraId="22CB3B9D" w14:textId="77777777" w:rsidR="000B7D1C" w:rsidRPr="00E33BEA" w:rsidRDefault="000B7D1C" w:rsidP="000B7D1C">
      <w:pPr>
        <w:pStyle w:val="JuQuot"/>
        <w:rPr>
          <w:sz w:val="18"/>
          <w:szCs w:val="22"/>
          <w:lang w:val="mk-MK"/>
        </w:rPr>
      </w:pPr>
      <w:r w:rsidRPr="00E33BEA">
        <w:rPr>
          <w:sz w:val="18"/>
          <w:szCs w:val="22"/>
          <w:lang w:val="mk-MK"/>
        </w:rPr>
        <w:t>– се употребува принуда, сила или закани; или</w:t>
      </w:r>
    </w:p>
    <w:p w14:paraId="69BAAE74" w14:textId="77777777" w:rsidR="000B7D1C" w:rsidRPr="00E33BEA" w:rsidRDefault="000B7D1C" w:rsidP="000B7D1C">
      <w:pPr>
        <w:pStyle w:val="JuQuot"/>
        <w:rPr>
          <w:sz w:val="18"/>
          <w:szCs w:val="22"/>
          <w:lang w:val="mk-MK"/>
        </w:rPr>
      </w:pPr>
      <w:r w:rsidRPr="00E33BEA">
        <w:rPr>
          <w:sz w:val="18"/>
          <w:szCs w:val="22"/>
          <w:lang w:val="mk-MK"/>
        </w:rPr>
        <w:t>– се врши злоупотреба на признаена позиција на доверба, авторитет или влијание врз детето, вклучително и во семејството; или</w:t>
      </w:r>
    </w:p>
    <w:p w14:paraId="39C38FBA" w14:textId="77777777" w:rsidR="000B7D1C" w:rsidRPr="00E33BEA" w:rsidRDefault="000B7D1C" w:rsidP="000B7D1C">
      <w:pPr>
        <w:pStyle w:val="JuQuot"/>
        <w:rPr>
          <w:sz w:val="18"/>
          <w:szCs w:val="22"/>
          <w:lang w:val="mk-MK"/>
        </w:rPr>
      </w:pPr>
      <w:r w:rsidRPr="00E33BEA">
        <w:rPr>
          <w:sz w:val="18"/>
          <w:szCs w:val="22"/>
          <w:lang w:val="mk-MK"/>
        </w:rPr>
        <w:t>– злоупотреба е направена од особено ранлива ситуација на детето, особено поради ментална или физичка попреченост или ситуација на зависност.</w:t>
      </w:r>
    </w:p>
    <w:p w14:paraId="1E6DA884" w14:textId="01B280AF" w:rsidR="000B7D1C" w:rsidRPr="00E33BEA" w:rsidRDefault="000B7D1C" w:rsidP="000B7D1C">
      <w:pPr>
        <w:pStyle w:val="JuQuot"/>
        <w:rPr>
          <w:sz w:val="18"/>
          <w:szCs w:val="22"/>
          <w:lang w:val="mk-MK"/>
        </w:rPr>
      </w:pPr>
      <w:r w:rsidRPr="00E33BEA">
        <w:rPr>
          <w:sz w:val="18"/>
          <w:szCs w:val="22"/>
          <w:lang w:val="mk-MK"/>
        </w:rPr>
        <w:t xml:space="preserve">2. За целите на став 1 погоре, секоја </w:t>
      </w:r>
      <w:r w:rsidR="00E33BEA">
        <w:rPr>
          <w:sz w:val="18"/>
          <w:szCs w:val="22"/>
          <w:lang w:val="mk-MK"/>
        </w:rPr>
        <w:t>с</w:t>
      </w:r>
      <w:r w:rsidRPr="00E33BEA">
        <w:rPr>
          <w:sz w:val="18"/>
          <w:szCs w:val="22"/>
          <w:lang w:val="mk-MK"/>
        </w:rPr>
        <w:t xml:space="preserve">трана ќе одлучи за возраста под која е забрането да се вклучи во полови </w:t>
      </w:r>
      <w:r w:rsidR="00422E86">
        <w:rPr>
          <w:sz w:val="18"/>
          <w:szCs w:val="22"/>
          <w:lang w:val="mk-MK"/>
        </w:rPr>
        <w:t>дејствија</w:t>
      </w:r>
      <w:r w:rsidRPr="00E33BEA">
        <w:rPr>
          <w:sz w:val="18"/>
          <w:szCs w:val="22"/>
          <w:lang w:val="mk-MK"/>
        </w:rPr>
        <w:t xml:space="preserve"> со дете.</w:t>
      </w:r>
    </w:p>
    <w:p w14:paraId="2BDD64F5" w14:textId="35D3217C" w:rsidR="00795EF7" w:rsidRPr="00E33BEA" w:rsidRDefault="000B7D1C" w:rsidP="000B7D1C">
      <w:pPr>
        <w:pStyle w:val="JuQuot"/>
        <w:rPr>
          <w:sz w:val="18"/>
          <w:szCs w:val="22"/>
          <w:lang w:val="mk-MK"/>
        </w:rPr>
      </w:pPr>
      <w:r w:rsidRPr="00E33BEA">
        <w:rPr>
          <w:sz w:val="18"/>
          <w:szCs w:val="22"/>
          <w:lang w:val="mk-MK"/>
        </w:rPr>
        <w:t xml:space="preserve">3. Одредбите од став 1.а не се наменети да ги регулираат консензуалните полови </w:t>
      </w:r>
      <w:r w:rsidR="00422E86">
        <w:rPr>
          <w:sz w:val="18"/>
          <w:szCs w:val="22"/>
          <w:lang w:val="mk-MK"/>
        </w:rPr>
        <w:t>дејствија</w:t>
      </w:r>
      <w:r w:rsidRPr="00E33BEA">
        <w:rPr>
          <w:sz w:val="18"/>
          <w:szCs w:val="22"/>
          <w:lang w:val="mk-MK"/>
        </w:rPr>
        <w:t xml:space="preserve"> меѓу малолетници“.</w:t>
      </w:r>
    </w:p>
    <w:p w14:paraId="6776E12B" w14:textId="5C7EDC86"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28" w:name="paragraph00032"/>
      <w:r w:rsidRPr="00996776">
        <w:rPr>
          <w:noProof/>
          <w:lang w:val="mk-MK"/>
        </w:rPr>
        <w:t>38</w:t>
      </w:r>
      <w:bookmarkEnd w:id="28"/>
      <w:r w:rsidRPr="00996776">
        <w:rPr>
          <w:noProof/>
          <w:lang w:val="mk-MK"/>
        </w:rPr>
        <w:fldChar w:fldCharType="end"/>
      </w:r>
      <w:r w:rsidRPr="00996776">
        <w:rPr>
          <w:lang w:val="mk-MK"/>
        </w:rPr>
        <w:t>.  </w:t>
      </w:r>
      <w:r w:rsidR="00E33BEA">
        <w:rPr>
          <w:lang w:val="mk-MK"/>
        </w:rPr>
        <w:t>Образложението</w:t>
      </w:r>
      <w:r w:rsidR="000B7D1C" w:rsidRPr="00996776">
        <w:rPr>
          <w:lang w:val="mk-MK"/>
        </w:rPr>
        <w:t xml:space="preserve"> на Конвенцијата </w:t>
      </w:r>
      <w:r w:rsidR="00E33BEA">
        <w:rPr>
          <w:lang w:val="mk-MK"/>
        </w:rPr>
        <w:t xml:space="preserve">од </w:t>
      </w:r>
      <w:r w:rsidR="000B7D1C" w:rsidRPr="00996776">
        <w:rPr>
          <w:lang w:val="mk-MK"/>
        </w:rPr>
        <w:t>Ланзароте појаснува:</w:t>
      </w:r>
    </w:p>
    <w:p w14:paraId="56A92A7A" w14:textId="62630788" w:rsidR="00795EF7" w:rsidRPr="00996776" w:rsidRDefault="00000000" w:rsidP="00A21C42">
      <w:pPr>
        <w:pStyle w:val="JuQuot"/>
        <w:rPr>
          <w:lang w:val="mk-MK"/>
        </w:rPr>
      </w:pPr>
      <w:r w:rsidRPr="00996776">
        <w:rPr>
          <w:lang w:val="mk-MK"/>
        </w:rPr>
        <w:t>“</w:t>
      </w:r>
      <w:r w:rsidR="000B7D1C" w:rsidRPr="00996776">
        <w:rPr>
          <w:lang w:val="mk-MK"/>
        </w:rPr>
        <w:t xml:space="preserve">„121. При оценувањето на составните елементи на прекршоците, </w:t>
      </w:r>
      <w:r w:rsidR="00E33BEA">
        <w:rPr>
          <w:lang w:val="mk-MK"/>
        </w:rPr>
        <w:t>с</w:t>
      </w:r>
      <w:r w:rsidR="000B7D1C" w:rsidRPr="00996776">
        <w:rPr>
          <w:lang w:val="mk-MK"/>
        </w:rPr>
        <w:t xml:space="preserve">траните треба да ја имаат предвид судската практика на Европскиот суд за човекови права; во овој поглед, преговарачите сакаа да се потсетат, предмет на толкување што може да се направи од него, </w:t>
      </w:r>
      <w:r w:rsidRPr="00996776">
        <w:rPr>
          <w:i/>
          <w:iCs/>
          <w:lang w:val="mk-MK"/>
        </w:rPr>
        <w:t>M.C. v. Bulgaria</w:t>
      </w:r>
      <w:r w:rsidRPr="00996776">
        <w:rPr>
          <w:lang w:val="mk-MK"/>
        </w:rPr>
        <w:t xml:space="preserve"> </w:t>
      </w:r>
      <w:r w:rsidR="000B7D1C" w:rsidRPr="00996776">
        <w:rPr>
          <w:lang w:val="mk-MK"/>
        </w:rPr>
        <w:t>пресуда од 4 декември 2003 година, во која Европскиот суд за човекови права изјави дека е „убеден дека секој ригиден пристап кон гонење на полови престапи, како што е барањето доказ за физички отпор во сите околности, ризикува да остави одредени видови силување неказнети и со тоа да ја загрози ефективната заштита на половата автономија на поединецот. Во согласност со современите стандарди и трендови во таа област, позитивните обврски на земјите</w:t>
      </w:r>
      <w:r w:rsidR="00E33BEA">
        <w:rPr>
          <w:lang w:val="mk-MK"/>
        </w:rPr>
        <w:t xml:space="preserve"> </w:t>
      </w:r>
      <w:r w:rsidR="000B7D1C" w:rsidRPr="00996776">
        <w:rPr>
          <w:lang w:val="mk-MK"/>
        </w:rPr>
        <w:t>членки според членовите 3 и 8 од Конвенцијата мора да се гледаат како што бараат казнување и ефективно гонење на секое полово дејствие без согласност, вклучително и во отсуство на физички отпор од страна на жртвата“ (§ 166). Судот, исто така, го забележа следново: „Без оглед на специфичната формулација избрана од законодавецот, во голем број земји гонењето на половите дејствија без согласност во сите околности се бара во пракса преку толкување на релевантните законски термини („принуда“, „насилство“, „присилување“, „закана“, „измама“, „изненадување преку доказ или други (§ 166).“</w:t>
      </w:r>
    </w:p>
    <w:p w14:paraId="32CF6DD4" w14:textId="400CF3E9" w:rsidR="00795EF7" w:rsidRPr="00996776" w:rsidRDefault="000B7D1C" w:rsidP="00A21C42">
      <w:pPr>
        <w:pStyle w:val="JuH1"/>
        <w:rPr>
          <w:lang w:val="mk-MK"/>
        </w:rPr>
      </w:pPr>
      <w:r w:rsidRPr="00996776">
        <w:rPr>
          <w:lang w:val="mk-MK"/>
        </w:rPr>
        <w:lastRenderedPageBreak/>
        <w:t>Препорака Rec(2002)5 на Комитетот на министри на Советот на Европа за заштита на жените од насилство</w:t>
      </w:r>
    </w:p>
    <w:p w14:paraId="5AB519E2" w14:textId="0B0FC66B"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29" w:name="paragraph00039"/>
      <w:r w:rsidRPr="00996776">
        <w:rPr>
          <w:noProof/>
          <w:lang w:val="mk-MK"/>
        </w:rPr>
        <w:t>39</w:t>
      </w:r>
      <w:bookmarkEnd w:id="29"/>
      <w:r w:rsidRPr="00996776">
        <w:rPr>
          <w:noProof/>
          <w:lang w:val="mk-MK"/>
        </w:rPr>
        <w:fldChar w:fldCharType="end"/>
      </w:r>
      <w:r w:rsidRPr="00996776">
        <w:rPr>
          <w:lang w:val="mk-MK"/>
        </w:rPr>
        <w:t>.  </w:t>
      </w:r>
      <w:r w:rsidR="000B7D1C" w:rsidRPr="00996776">
        <w:rPr>
          <w:lang w:val="mk-MK"/>
        </w:rPr>
        <w:t>Во оваа Препорака Комитетот на министри препорача земјите</w:t>
      </w:r>
      <w:r w:rsidR="00E33BEA">
        <w:rPr>
          <w:lang w:val="mk-MK"/>
        </w:rPr>
        <w:t xml:space="preserve"> </w:t>
      </w:r>
      <w:r w:rsidR="000B7D1C" w:rsidRPr="00996776">
        <w:rPr>
          <w:lang w:val="mk-MK"/>
        </w:rPr>
        <w:t xml:space="preserve">членки, на начин најсоодветен за националните околности на секоја земја, </w:t>
      </w:r>
      <w:r w:rsidR="00E33BEA" w:rsidRPr="00996776">
        <w:rPr>
          <w:lang w:val="mk-MK"/>
        </w:rPr>
        <w:t xml:space="preserve">да усвојат и спроведат </w:t>
      </w:r>
      <w:r w:rsidR="000B7D1C" w:rsidRPr="00996776">
        <w:rPr>
          <w:lang w:val="mk-MK"/>
        </w:rPr>
        <w:t xml:space="preserve">серија мерки за борба против насилството врз жените. Во </w:t>
      </w:r>
      <w:r w:rsidR="00902413">
        <w:rPr>
          <w:lang w:val="mk-MK"/>
        </w:rPr>
        <w:t>параграф</w:t>
      </w:r>
      <w:r w:rsidR="00902413" w:rsidRPr="00996776">
        <w:rPr>
          <w:lang w:val="mk-MK"/>
        </w:rPr>
        <w:t xml:space="preserve"> </w:t>
      </w:r>
      <w:r w:rsidR="000B7D1C" w:rsidRPr="00996776">
        <w:rPr>
          <w:lang w:val="mk-MK"/>
        </w:rPr>
        <w:t>35 од додатокот на Препораката, меѓу другото, се наведува и следново</w:t>
      </w:r>
      <w:r w:rsidRPr="00996776">
        <w:rPr>
          <w:lang w:val="mk-MK"/>
        </w:rPr>
        <w:t>:</w:t>
      </w:r>
    </w:p>
    <w:p w14:paraId="70AED1F5" w14:textId="33F6DF86" w:rsidR="00795EF7" w:rsidRPr="00996776" w:rsidRDefault="00000000" w:rsidP="00A21C42">
      <w:pPr>
        <w:pStyle w:val="JuQuot"/>
        <w:rPr>
          <w:rFonts w:eastAsia="Times New Roman"/>
          <w:i/>
          <w:iCs/>
          <w:sz w:val="23"/>
          <w:szCs w:val="23"/>
          <w:lang w:val="mk-MK" w:eastAsia="fr-FR"/>
        </w:rPr>
      </w:pPr>
      <w:r w:rsidRPr="00996776">
        <w:rPr>
          <w:rFonts w:eastAsia="Times New Roman"/>
          <w:lang w:val="mk-MK" w:eastAsia="fr-FR"/>
        </w:rPr>
        <w:t>“</w:t>
      </w:r>
      <w:r w:rsidR="000B7D1C" w:rsidRPr="00996776">
        <w:rPr>
          <w:rFonts w:eastAsia="Times New Roman"/>
          <w:i/>
          <w:iCs/>
          <w:lang w:val="mk-MK" w:eastAsia="fr-FR"/>
        </w:rPr>
        <w:t>Кривично законодавство</w:t>
      </w:r>
    </w:p>
    <w:p w14:paraId="7DB9A28E" w14:textId="3754C20A" w:rsidR="00795EF7" w:rsidRPr="00996776" w:rsidRDefault="00000000" w:rsidP="00A21C42">
      <w:pPr>
        <w:pStyle w:val="JuQuot"/>
        <w:rPr>
          <w:rFonts w:eastAsia="Times New Roman"/>
          <w:lang w:val="mk-MK" w:eastAsia="fr-FR"/>
        </w:rPr>
      </w:pPr>
      <w:r w:rsidRPr="00996776">
        <w:rPr>
          <w:rFonts w:eastAsia="Times New Roman"/>
          <w:lang w:val="mk-MK" w:eastAsia="fr-FR"/>
        </w:rPr>
        <w:t xml:space="preserve">35. ... </w:t>
      </w:r>
      <w:r w:rsidR="000B7D1C" w:rsidRPr="00996776">
        <w:rPr>
          <w:rFonts w:eastAsia="Times New Roman"/>
          <w:lang w:val="mk-MK" w:eastAsia="fr-FR"/>
        </w:rPr>
        <w:t>[Н]ационалното законодавство треба</w:t>
      </w:r>
      <w:r w:rsidRPr="00996776">
        <w:rPr>
          <w:rFonts w:eastAsia="Times New Roman"/>
          <w:lang w:val="mk-MK" w:eastAsia="fr-FR"/>
        </w:rPr>
        <w:t>:</w:t>
      </w:r>
    </w:p>
    <w:p w14:paraId="559E19D8" w14:textId="77777777" w:rsidR="00795EF7" w:rsidRPr="00996776" w:rsidRDefault="00000000" w:rsidP="00A21C42">
      <w:pPr>
        <w:pStyle w:val="JuQuot"/>
        <w:rPr>
          <w:rFonts w:eastAsia="Times New Roman"/>
          <w:sz w:val="23"/>
          <w:szCs w:val="23"/>
          <w:lang w:val="mk-MK" w:eastAsia="fr-FR"/>
        </w:rPr>
      </w:pPr>
      <w:r w:rsidRPr="00996776">
        <w:rPr>
          <w:rFonts w:eastAsia="Times New Roman"/>
          <w:lang w:val="mk-MK" w:eastAsia="fr-FR"/>
        </w:rPr>
        <w:t>...</w:t>
      </w:r>
    </w:p>
    <w:p w14:paraId="2D5261D7" w14:textId="718D1224" w:rsidR="00795EF7" w:rsidRPr="00996776" w:rsidRDefault="00000000" w:rsidP="00A21C42">
      <w:pPr>
        <w:pStyle w:val="JuQuot"/>
        <w:rPr>
          <w:rFonts w:eastAsia="Times New Roman"/>
          <w:lang w:val="mk-MK" w:eastAsia="fr-FR"/>
        </w:rPr>
      </w:pPr>
      <w:r w:rsidRPr="00996776">
        <w:rPr>
          <w:rFonts w:eastAsia="Times New Roman"/>
          <w:lang w:val="mk-MK" w:eastAsia="fr-FR"/>
        </w:rPr>
        <w:t xml:space="preserve">– </w:t>
      </w:r>
      <w:r w:rsidR="00B628AB" w:rsidRPr="00996776">
        <w:rPr>
          <w:rFonts w:eastAsia="Times New Roman"/>
          <w:lang w:val="mk-MK" w:eastAsia="fr-FR"/>
        </w:rPr>
        <w:t>– да се казни секое полово дејствие извршено врз лица кои не се согласуваат, дури и ако тие не покажуваат знаци на отпор;</w:t>
      </w:r>
    </w:p>
    <w:p w14:paraId="4C803DEF" w14:textId="77777777" w:rsidR="00795EF7" w:rsidRPr="00996776" w:rsidRDefault="00000000" w:rsidP="00A21C42">
      <w:pPr>
        <w:pStyle w:val="JuQuot"/>
        <w:rPr>
          <w:rFonts w:eastAsia="Times New Roman"/>
          <w:lang w:val="mk-MK" w:eastAsia="fr-FR"/>
        </w:rPr>
      </w:pPr>
      <w:r w:rsidRPr="00996776">
        <w:rPr>
          <w:rFonts w:eastAsia="Times New Roman"/>
          <w:lang w:val="mk-MK" w:eastAsia="fr-FR"/>
        </w:rPr>
        <w:t>...</w:t>
      </w:r>
    </w:p>
    <w:p w14:paraId="6ED4E8F1" w14:textId="42E6B618" w:rsidR="00795EF7" w:rsidRPr="00996776" w:rsidRDefault="00000000" w:rsidP="00A21C42">
      <w:pPr>
        <w:pStyle w:val="JuQuot"/>
        <w:rPr>
          <w:rFonts w:cstheme="minorHAnsi"/>
          <w:color w:val="000000"/>
          <w:szCs w:val="20"/>
          <w:lang w:val="mk-MK"/>
        </w:rPr>
      </w:pPr>
      <w:r w:rsidRPr="00996776">
        <w:rPr>
          <w:rFonts w:cstheme="minorHAnsi"/>
          <w:color w:val="000000"/>
          <w:szCs w:val="20"/>
          <w:lang w:val="mk-MK"/>
        </w:rPr>
        <w:t xml:space="preserve">– </w:t>
      </w:r>
      <w:r w:rsidR="00B628AB" w:rsidRPr="00996776">
        <w:rPr>
          <w:rFonts w:cstheme="minorHAnsi"/>
          <w:color w:val="000000"/>
          <w:szCs w:val="20"/>
          <w:lang w:val="mk-MK"/>
        </w:rPr>
        <w:t>да се казни секоја злоупотреба на положбата на сторителот, а особено на возрасен во однос на детето</w:t>
      </w:r>
      <w:r w:rsidRPr="00996776">
        <w:rPr>
          <w:rFonts w:cstheme="minorHAnsi"/>
          <w:color w:val="000000"/>
          <w:szCs w:val="20"/>
          <w:lang w:val="mk-MK"/>
        </w:rPr>
        <w:t>.</w:t>
      </w:r>
    </w:p>
    <w:p w14:paraId="1B3D700A" w14:textId="1EFFE9C8" w:rsidR="00B628AB" w:rsidRPr="00996776" w:rsidRDefault="00B628AB" w:rsidP="00A21C42">
      <w:pPr>
        <w:pStyle w:val="JuQuot"/>
        <w:rPr>
          <w:rFonts w:eastAsia="Times New Roman"/>
          <w:i/>
          <w:iCs/>
          <w:lang w:val="mk-MK" w:eastAsia="fr-FR"/>
        </w:rPr>
      </w:pPr>
      <w:r w:rsidRPr="00996776">
        <w:rPr>
          <w:rFonts w:eastAsia="Times New Roman"/>
          <w:i/>
          <w:iCs/>
          <w:lang w:val="mk-MK" w:eastAsia="fr-FR"/>
        </w:rPr>
        <w:t xml:space="preserve">Граѓаснко законодавство </w:t>
      </w:r>
    </w:p>
    <w:p w14:paraId="0F26B874" w14:textId="14AACE23" w:rsidR="00795EF7" w:rsidRPr="00996776" w:rsidRDefault="00B628AB" w:rsidP="00A21C42">
      <w:pPr>
        <w:pStyle w:val="JuQuot"/>
        <w:rPr>
          <w:rFonts w:eastAsia="Times New Roman"/>
          <w:sz w:val="23"/>
          <w:szCs w:val="23"/>
          <w:lang w:val="mk-MK" w:eastAsia="fr-FR"/>
        </w:rPr>
      </w:pPr>
      <w:r w:rsidRPr="00996776">
        <w:rPr>
          <w:rFonts w:eastAsia="Times New Roman"/>
          <w:lang w:val="mk-MK" w:eastAsia="fr-FR"/>
        </w:rPr>
        <w:t>Земјите членки треба:</w:t>
      </w:r>
    </w:p>
    <w:p w14:paraId="5B7EE752" w14:textId="77777777" w:rsidR="00795EF7" w:rsidRPr="00996776" w:rsidRDefault="00000000" w:rsidP="00A21C42">
      <w:pPr>
        <w:pStyle w:val="JuQuot"/>
        <w:rPr>
          <w:rFonts w:eastAsia="Times New Roman"/>
          <w:sz w:val="23"/>
          <w:szCs w:val="23"/>
          <w:lang w:val="mk-MK" w:eastAsia="fr-FR"/>
        </w:rPr>
      </w:pPr>
      <w:r w:rsidRPr="00996776">
        <w:rPr>
          <w:rFonts w:ascii="Times New Roman" w:eastAsia="Times New Roman" w:hAnsi="Times New Roman" w:cs="Times New Roman"/>
          <w:lang w:val="mk-MK" w:eastAsia="fr-FR"/>
        </w:rPr>
        <w:t>36.  </w:t>
      </w:r>
      <w:r w:rsidRPr="00996776">
        <w:rPr>
          <w:rFonts w:eastAsia="Times New Roman"/>
          <w:lang w:val="mk-MK" w:eastAsia="fr-FR"/>
        </w:rPr>
        <w:t>ensure that, in cases where the facts of violence have been established, victims receive appropriate compensation for any pecuniary, physical, psychological, moral and social damage suffered, corresponding to the degree of gravity, including legal costs incurred;</w:t>
      </w:r>
    </w:p>
    <w:p w14:paraId="2E7D22EF" w14:textId="77777777" w:rsidR="00795EF7" w:rsidRPr="00996776" w:rsidRDefault="00000000" w:rsidP="00A21C42">
      <w:pPr>
        <w:pStyle w:val="JuQuot"/>
        <w:rPr>
          <w:rFonts w:cstheme="minorHAnsi"/>
          <w:color w:val="000000"/>
          <w:szCs w:val="20"/>
          <w:lang w:val="mk-MK"/>
        </w:rPr>
      </w:pPr>
      <w:r w:rsidRPr="00996776">
        <w:rPr>
          <w:rFonts w:ascii="Times New Roman" w:eastAsia="Times New Roman" w:hAnsi="Times New Roman" w:cs="Times New Roman"/>
          <w:lang w:val="mk-MK" w:eastAsia="fr-FR"/>
        </w:rPr>
        <w:t>37.  </w:t>
      </w:r>
      <w:r w:rsidRPr="00996776">
        <w:rPr>
          <w:rFonts w:eastAsia="Times New Roman"/>
          <w:lang w:val="mk-MK" w:eastAsia="fr-FR"/>
        </w:rPr>
        <w:t>envisage the establishment of financing systems in order to compensate victims.</w:t>
      </w:r>
      <w:r w:rsidRPr="00996776">
        <w:rPr>
          <w:rFonts w:cstheme="minorHAnsi"/>
          <w:color w:val="000000"/>
          <w:szCs w:val="20"/>
          <w:lang w:val="mk-MK"/>
        </w:rPr>
        <w:t>”</w:t>
      </w:r>
    </w:p>
    <w:p w14:paraId="11B2051E" w14:textId="0AAED425" w:rsidR="00795EF7" w:rsidRPr="00996776" w:rsidRDefault="00000000" w:rsidP="00A21C42">
      <w:pPr>
        <w:pStyle w:val="JuPara"/>
        <w:rPr>
          <w:lang w:val="mk-MK"/>
        </w:rPr>
      </w:pPr>
      <w:r w:rsidRPr="00996776">
        <w:rPr>
          <w:rFonts w:cstheme="minorHAnsi"/>
          <w:color w:val="000000"/>
          <w:szCs w:val="20"/>
          <w:lang w:val="mk-MK"/>
        </w:rPr>
        <w:fldChar w:fldCharType="begin"/>
      </w:r>
      <w:r w:rsidRPr="00996776">
        <w:rPr>
          <w:rFonts w:cstheme="minorHAnsi"/>
          <w:color w:val="000000"/>
          <w:szCs w:val="20"/>
          <w:lang w:val="mk-MK"/>
        </w:rPr>
        <w:instrText xml:space="preserve"> SEQ level0 \*arabic \* MERGEFORMAT </w:instrText>
      </w:r>
      <w:r w:rsidRPr="00996776">
        <w:rPr>
          <w:rFonts w:cstheme="minorHAnsi"/>
          <w:color w:val="000000"/>
          <w:szCs w:val="20"/>
          <w:lang w:val="mk-MK"/>
        </w:rPr>
        <w:fldChar w:fldCharType="separate"/>
      </w:r>
      <w:r w:rsidR="00A21C42" w:rsidRPr="00996776">
        <w:rPr>
          <w:rFonts w:cstheme="minorHAnsi"/>
          <w:noProof/>
          <w:color w:val="000000"/>
          <w:szCs w:val="20"/>
          <w:lang w:val="mk-MK"/>
        </w:rPr>
        <w:t>40</w:t>
      </w:r>
      <w:r w:rsidRPr="00996776">
        <w:rPr>
          <w:rFonts w:cstheme="minorHAnsi"/>
          <w:color w:val="000000"/>
          <w:szCs w:val="20"/>
          <w:lang w:val="mk-MK"/>
        </w:rPr>
        <w:fldChar w:fldCharType="end"/>
      </w:r>
      <w:r w:rsidRPr="00996776">
        <w:rPr>
          <w:rFonts w:cstheme="minorHAnsi"/>
          <w:color w:val="000000"/>
          <w:szCs w:val="20"/>
          <w:lang w:val="mk-MK"/>
        </w:rPr>
        <w:t>.  </w:t>
      </w:r>
      <w:r w:rsidR="00B628AB" w:rsidRPr="00996776">
        <w:rPr>
          <w:rFonts w:cstheme="minorHAnsi"/>
          <w:color w:val="000000"/>
          <w:szCs w:val="20"/>
          <w:lang w:val="mk-MK"/>
        </w:rPr>
        <w:t>Според аналитичката студија на резултатите од третиот круг на следење на имплементацијата на Препораката Rec(2002)5 (Стразбур, 2010), до 2010 година, мнозинството земји членки на Советот на Европа ги казниле сите полови дејствија врз лица кои не се согласуваат (страници 14, 38 и 39)</w:t>
      </w:r>
    </w:p>
    <w:p w14:paraId="757AFEA7" w14:textId="47589C3A" w:rsidR="00795EF7" w:rsidRPr="00996776" w:rsidRDefault="00B628AB" w:rsidP="00A21C42">
      <w:pPr>
        <w:pStyle w:val="JuH1"/>
        <w:rPr>
          <w:lang w:val="mk-MK"/>
        </w:rPr>
      </w:pPr>
      <w:r w:rsidRPr="00996776">
        <w:rPr>
          <w:lang w:val="mk-MK"/>
        </w:rPr>
        <w:t xml:space="preserve"> Конвенција на Советот на Европа за спречување и борба против насилството врз жените и семејното насилство (CETS бр. 2010, „Истанбулска конвенција”)</w:t>
      </w:r>
    </w:p>
    <w:p w14:paraId="0A8833B3" w14:textId="1EEDC886"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41</w:t>
      </w:r>
      <w:r w:rsidRPr="00996776">
        <w:rPr>
          <w:noProof/>
          <w:lang w:val="mk-MK"/>
        </w:rPr>
        <w:fldChar w:fldCharType="end"/>
      </w:r>
      <w:r w:rsidRPr="00996776">
        <w:rPr>
          <w:lang w:val="mk-MK"/>
        </w:rPr>
        <w:t>.  </w:t>
      </w:r>
      <w:r w:rsidR="00B628AB" w:rsidRPr="00996776">
        <w:rPr>
          <w:rFonts w:cstheme="minorHAnsi"/>
          <w:lang w:val="mk-MK"/>
        </w:rPr>
        <w:t>Истанбулската конвенција беше усвоена на 11 мај 2011 година и стапи на сила во однос на тужената држава на 1 јули 2018 година. Член 36 од таа Конвенција го предвидува следново</w:t>
      </w:r>
      <w:r w:rsidRPr="00996776">
        <w:rPr>
          <w:rFonts w:cstheme="minorHAnsi"/>
          <w:color w:val="000000"/>
          <w:lang w:val="mk-MK"/>
        </w:rPr>
        <w:t>:</w:t>
      </w:r>
    </w:p>
    <w:p w14:paraId="26340437" w14:textId="2EF3BA65" w:rsidR="00795EF7" w:rsidRPr="00996776" w:rsidRDefault="00300241" w:rsidP="00A21C42">
      <w:pPr>
        <w:pStyle w:val="JuHArticle"/>
        <w:rPr>
          <w:lang w:val="mk-MK"/>
        </w:rPr>
      </w:pPr>
      <w:r w:rsidRPr="00996776">
        <w:rPr>
          <w:lang w:val="mk-MK"/>
        </w:rPr>
        <w:t>Член 36 – Полово насилство, вклучително и силување</w:t>
      </w:r>
    </w:p>
    <w:p w14:paraId="7246C6E5" w14:textId="762C52F8" w:rsidR="00300241" w:rsidRPr="009E347C" w:rsidRDefault="00000000" w:rsidP="00300241">
      <w:pPr>
        <w:pStyle w:val="JuQuot"/>
        <w:rPr>
          <w:sz w:val="18"/>
          <w:szCs w:val="22"/>
          <w:lang w:val="mk-MK"/>
        </w:rPr>
      </w:pPr>
      <w:r w:rsidRPr="009E347C">
        <w:rPr>
          <w:sz w:val="18"/>
          <w:szCs w:val="22"/>
          <w:lang w:val="mk-MK"/>
        </w:rPr>
        <w:t xml:space="preserve">“1. </w:t>
      </w:r>
      <w:r w:rsidR="00300241" w:rsidRPr="009E347C">
        <w:rPr>
          <w:sz w:val="18"/>
          <w:szCs w:val="22"/>
          <w:lang w:val="mk-MK"/>
        </w:rPr>
        <w:t>Страните ќе ги преземат неопходните законодавни или други мерки за да обезбедат дека следните намерни однесувања се криминализирани:</w:t>
      </w:r>
    </w:p>
    <w:p w14:paraId="20492D0A" w14:textId="7DFFF822" w:rsidR="00300241" w:rsidRPr="009E347C" w:rsidRDefault="00300241" w:rsidP="00300241">
      <w:pPr>
        <w:pStyle w:val="JuQuot"/>
        <w:rPr>
          <w:sz w:val="18"/>
          <w:szCs w:val="22"/>
          <w:lang w:val="mk-MK"/>
        </w:rPr>
      </w:pPr>
      <w:r w:rsidRPr="009E347C">
        <w:rPr>
          <w:sz w:val="18"/>
          <w:szCs w:val="22"/>
          <w:lang w:val="mk-MK"/>
        </w:rPr>
        <w:t>(а) вклучување во неконсензуално вагинално, анално или орална пенетрација од полова природа во телото на друго лице со кој било телесен дел или предмет;</w:t>
      </w:r>
    </w:p>
    <w:p w14:paraId="32519733" w14:textId="1F1E22E9" w:rsidR="00300241" w:rsidRPr="009E347C" w:rsidRDefault="00300241" w:rsidP="00300241">
      <w:pPr>
        <w:pStyle w:val="JuQuot"/>
        <w:rPr>
          <w:sz w:val="18"/>
          <w:szCs w:val="22"/>
          <w:lang w:val="mk-MK"/>
        </w:rPr>
      </w:pPr>
      <w:r w:rsidRPr="009E347C">
        <w:rPr>
          <w:sz w:val="18"/>
          <w:szCs w:val="22"/>
          <w:lang w:val="mk-MK"/>
        </w:rPr>
        <w:t xml:space="preserve">(б) вклучување во други неконсензуални дејствија од </w:t>
      </w:r>
      <w:r w:rsidR="0044064F" w:rsidRPr="009E347C">
        <w:rPr>
          <w:sz w:val="18"/>
          <w:szCs w:val="22"/>
          <w:lang w:val="mk-MK"/>
        </w:rPr>
        <w:t>полова</w:t>
      </w:r>
      <w:r w:rsidRPr="009E347C">
        <w:rPr>
          <w:sz w:val="18"/>
          <w:szCs w:val="22"/>
          <w:lang w:val="mk-MK"/>
        </w:rPr>
        <w:t xml:space="preserve"> природа со лице;</w:t>
      </w:r>
    </w:p>
    <w:p w14:paraId="7F224CB3" w14:textId="7F8BC933" w:rsidR="00300241" w:rsidRPr="009E347C" w:rsidRDefault="00300241" w:rsidP="00300241">
      <w:pPr>
        <w:pStyle w:val="JuQuot"/>
        <w:rPr>
          <w:sz w:val="18"/>
          <w:szCs w:val="22"/>
          <w:lang w:val="mk-MK"/>
        </w:rPr>
      </w:pPr>
      <w:r w:rsidRPr="009E347C">
        <w:rPr>
          <w:sz w:val="18"/>
          <w:szCs w:val="22"/>
          <w:lang w:val="mk-MK"/>
        </w:rPr>
        <w:lastRenderedPageBreak/>
        <w:t>(в) предизвикување на друго лице да се вклучи во неконсензуални дејствија од полова природа со трето лице.</w:t>
      </w:r>
    </w:p>
    <w:p w14:paraId="529CC908" w14:textId="30B2950D" w:rsidR="00795EF7" w:rsidRPr="009E347C" w:rsidRDefault="00300241" w:rsidP="00300241">
      <w:pPr>
        <w:pStyle w:val="JuQuot"/>
        <w:rPr>
          <w:sz w:val="18"/>
          <w:szCs w:val="22"/>
          <w:lang w:val="mk-MK"/>
        </w:rPr>
      </w:pPr>
      <w:r w:rsidRPr="009E347C">
        <w:rPr>
          <w:sz w:val="18"/>
          <w:szCs w:val="22"/>
          <w:lang w:val="mk-MK"/>
        </w:rPr>
        <w:t>2. Согласноста мора да се даде доброволно како резултат на слободната волја на лицето проценета во контекст на околните околности“.</w:t>
      </w:r>
    </w:p>
    <w:p w14:paraId="63D916B0" w14:textId="4827E0CC"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30" w:name="paragraph00041"/>
      <w:r w:rsidRPr="00996776">
        <w:rPr>
          <w:noProof/>
          <w:lang w:val="mk-MK"/>
        </w:rPr>
        <w:t>42</w:t>
      </w:r>
      <w:bookmarkEnd w:id="30"/>
      <w:r w:rsidRPr="00996776">
        <w:rPr>
          <w:noProof/>
          <w:lang w:val="mk-MK"/>
        </w:rPr>
        <w:fldChar w:fldCharType="end"/>
      </w:r>
      <w:r w:rsidRPr="00996776">
        <w:rPr>
          <w:lang w:val="mk-MK"/>
        </w:rPr>
        <w:t>.  </w:t>
      </w:r>
      <w:r w:rsidR="00300241" w:rsidRPr="00996776">
        <w:rPr>
          <w:lang w:val="mk-MK"/>
        </w:rPr>
        <w:t>Релевантните делови од Објаснувачкиот извештај за Истанбулската конвенција гласат како што следува</w:t>
      </w:r>
      <w:r w:rsidRPr="00996776">
        <w:rPr>
          <w:lang w:val="mk-MK"/>
        </w:rPr>
        <w:t>:</w:t>
      </w:r>
    </w:p>
    <w:p w14:paraId="1A485587" w14:textId="0847A67F" w:rsidR="00795EF7" w:rsidRPr="00996776" w:rsidRDefault="00300241" w:rsidP="00A21C42">
      <w:pPr>
        <w:pStyle w:val="JuHArticle"/>
        <w:rPr>
          <w:lang w:val="mk-MK"/>
        </w:rPr>
      </w:pPr>
      <w:r w:rsidRPr="00996776">
        <w:rPr>
          <w:lang w:val="mk-MK"/>
        </w:rPr>
        <w:t xml:space="preserve">Член 36 – Полово насилство, вклучително и силување </w:t>
      </w:r>
    </w:p>
    <w:p w14:paraId="396DB5DD" w14:textId="6E4FF49E" w:rsidR="00300241" w:rsidRPr="009E347C" w:rsidRDefault="00000000" w:rsidP="00300241">
      <w:pPr>
        <w:pStyle w:val="JuQuot"/>
        <w:rPr>
          <w:lang w:val="mk-MK"/>
        </w:rPr>
      </w:pPr>
      <w:r w:rsidRPr="009E347C">
        <w:rPr>
          <w:lang w:val="mk-MK"/>
        </w:rPr>
        <w:t>“</w:t>
      </w:r>
      <w:r w:rsidR="00300241" w:rsidRPr="009E347C">
        <w:rPr>
          <w:lang w:val="mk-MK"/>
        </w:rPr>
        <w:t>189. Овој член го утврдува кривичното дело полово насилство, вклучително и силување. Став 1 ги опфаќа сите облици на полови дејствија што се вршат врз друго лице без нејзина или негова слободно дадена согласност и кои се извршени намерно. ...</w:t>
      </w:r>
    </w:p>
    <w:p w14:paraId="40E6C4BD" w14:textId="704B8741" w:rsidR="00300241" w:rsidRPr="009E347C" w:rsidRDefault="00300241" w:rsidP="00300241">
      <w:pPr>
        <w:pStyle w:val="JuQuot"/>
        <w:rPr>
          <w:lang w:val="mk-MK"/>
        </w:rPr>
      </w:pPr>
      <w:r w:rsidRPr="009E347C">
        <w:rPr>
          <w:lang w:val="mk-MK"/>
        </w:rPr>
        <w:t>190. ... отд б. ги опфаќа сите дејствија од полова природа без слободно дадена согласност на една од инволвираните страни кои не успеваат да навлезат ...</w:t>
      </w:r>
    </w:p>
    <w:p w14:paraId="2F872AFD" w14:textId="097666DF" w:rsidR="00795EF7" w:rsidRPr="009E347C" w:rsidRDefault="00300241" w:rsidP="00300241">
      <w:pPr>
        <w:pStyle w:val="JuQuot"/>
        <w:rPr>
          <w:lang w:val="mk-MK"/>
        </w:rPr>
      </w:pPr>
      <w:r w:rsidRPr="009E347C">
        <w:rPr>
          <w:lang w:val="mk-MK"/>
        </w:rPr>
        <w:t xml:space="preserve">193. При спроведувањето на оваа одредба, од Страните на Конвенцијата се бара да предвидат кривично законодавство кое го опфаќа поимот за недостаток на слободно дадена согласност за кое било од </w:t>
      </w:r>
      <w:r w:rsidR="0044064F" w:rsidRPr="009E347C">
        <w:rPr>
          <w:lang w:val="mk-MK"/>
        </w:rPr>
        <w:t>полови</w:t>
      </w:r>
      <w:r w:rsidRPr="009E347C">
        <w:rPr>
          <w:lang w:val="mk-MK"/>
        </w:rPr>
        <w:t>те дејствија наведени во одт.а до одт.в. Сепак, на Страните им е оставено да одлучат за конкретната формулација на законодавството и факторите за кои тие сметаат дека ја спречуваат слободно дадената согласност. Ставот 2 само прецизира дека согласноста мора да се даде доброволно како резултат на слободната волја на лицето, како што се оценува во контекст на околните околности.”</w:t>
      </w:r>
    </w:p>
    <w:p w14:paraId="6F88E6A7" w14:textId="493EF045" w:rsidR="00795EF7" w:rsidRPr="00996776" w:rsidRDefault="00300241" w:rsidP="00A21C42">
      <w:pPr>
        <w:pStyle w:val="JuPara"/>
        <w:rPr>
          <w:lang w:val="mk-MK"/>
        </w:rPr>
      </w:pPr>
      <w:r w:rsidRPr="00996776">
        <w:rPr>
          <w:lang w:val="mk-MK"/>
        </w:rPr>
        <w:t xml:space="preserve">Став 191 од </w:t>
      </w:r>
      <w:r w:rsidR="009E347C">
        <w:rPr>
          <w:lang w:val="mk-MK"/>
        </w:rPr>
        <w:t>Образложението</w:t>
      </w:r>
      <w:r w:rsidRPr="00996776">
        <w:rPr>
          <w:lang w:val="mk-MK"/>
        </w:rPr>
        <w:t xml:space="preserve"> за Истанбулската конвенција е суштински идентичен со ставот 121 од </w:t>
      </w:r>
      <w:r w:rsidR="009E347C">
        <w:rPr>
          <w:lang w:val="mk-MK"/>
        </w:rPr>
        <w:t>Образложението</w:t>
      </w:r>
      <w:r w:rsidR="009E347C" w:rsidRPr="00996776">
        <w:rPr>
          <w:lang w:val="mk-MK"/>
        </w:rPr>
        <w:t xml:space="preserve"> </w:t>
      </w:r>
      <w:r w:rsidRPr="00996776">
        <w:rPr>
          <w:lang w:val="mk-MK"/>
        </w:rPr>
        <w:t xml:space="preserve">на Конвенцијата </w:t>
      </w:r>
      <w:r w:rsidR="009E347C">
        <w:rPr>
          <w:lang w:val="mk-MK"/>
        </w:rPr>
        <w:t xml:space="preserve">од </w:t>
      </w:r>
      <w:r w:rsidRPr="00996776">
        <w:rPr>
          <w:lang w:val="mk-MK"/>
        </w:rPr>
        <w:t xml:space="preserve">Ланзароте (види </w:t>
      </w:r>
      <w:r w:rsidR="00902413">
        <w:rPr>
          <w:lang w:val="mk-MK"/>
        </w:rPr>
        <w:t>параграф</w:t>
      </w:r>
      <w:r w:rsidR="00902413" w:rsidRPr="00996776">
        <w:rPr>
          <w:lang w:val="mk-MK"/>
        </w:rPr>
        <w:t xml:space="preserve"> </w:t>
      </w:r>
      <w:r w:rsidRPr="00996776">
        <w:rPr>
          <w:lang w:val="mk-MK"/>
        </w:rPr>
        <w:t>38 погоре).</w:t>
      </w:r>
    </w:p>
    <w:p w14:paraId="72057E17" w14:textId="03017134"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43</w:t>
      </w:r>
      <w:r w:rsidRPr="00996776">
        <w:rPr>
          <w:noProof/>
          <w:lang w:val="mk-MK"/>
        </w:rPr>
        <w:fldChar w:fldCharType="end"/>
      </w:r>
      <w:r w:rsidRPr="00996776">
        <w:rPr>
          <w:lang w:val="mk-MK"/>
        </w:rPr>
        <w:t>.  </w:t>
      </w:r>
      <w:r w:rsidR="00300241" w:rsidRPr="00996776">
        <w:rPr>
          <w:lang w:val="mk-MK"/>
        </w:rPr>
        <w:t>На 7 септември 2023 година, Експертската група на Советот на Европа за дејствување против насилството врз жените и семејното насилство (</w:t>
      </w:r>
      <w:bookmarkStart w:id="31" w:name="_Hlk192498587"/>
      <w:r w:rsidR="00300241" w:rsidRPr="00996776">
        <w:rPr>
          <w:lang w:val="mk-MK"/>
        </w:rPr>
        <w:t>ГРЕВИО</w:t>
      </w:r>
      <w:bookmarkEnd w:id="31"/>
      <w:r w:rsidR="00300241" w:rsidRPr="00996776">
        <w:rPr>
          <w:lang w:val="mk-MK"/>
        </w:rPr>
        <w:t>) го објави својот (Основен) Извештај за евалуација во однос на тужената држава (</w:t>
      </w:r>
      <w:r w:rsidR="009E347C" w:rsidRPr="00996776">
        <w:rPr>
          <w:lang w:val="mk-MK"/>
        </w:rPr>
        <w:t>ГРЕВИО</w:t>
      </w:r>
      <w:r w:rsidR="00300241" w:rsidRPr="00996776">
        <w:rPr>
          <w:lang w:val="mk-MK"/>
        </w:rPr>
        <w:t>/Inf(2023)5). Релевантниот дел од извештајот гласи вака</w:t>
      </w:r>
      <w:r w:rsidRPr="00996776">
        <w:rPr>
          <w:lang w:val="mk-MK"/>
        </w:rPr>
        <w:t>:</w:t>
      </w:r>
    </w:p>
    <w:p w14:paraId="57C32813" w14:textId="1E6BC66A" w:rsidR="00795EF7" w:rsidRPr="00996776" w:rsidRDefault="00000000" w:rsidP="00A21C42">
      <w:pPr>
        <w:pStyle w:val="JuQuot"/>
        <w:rPr>
          <w:lang w:val="mk-MK"/>
        </w:rPr>
      </w:pPr>
      <w:r w:rsidRPr="00996776">
        <w:rPr>
          <w:lang w:val="mk-MK"/>
        </w:rPr>
        <w:t>“</w:t>
      </w:r>
      <w:r w:rsidR="00300241" w:rsidRPr="00996776">
        <w:rPr>
          <w:lang w:val="mk-MK"/>
        </w:rPr>
        <w:t xml:space="preserve">259. ГРЕВИО ги поздравува измените на елементите на прекршоците наведени во член 186, кои се целосно во согласност со барањето од член 36 од Истанбулската конвенција за криминализирање на сите </w:t>
      </w:r>
      <w:r w:rsidR="0044064F">
        <w:rPr>
          <w:lang w:val="mk-MK"/>
        </w:rPr>
        <w:t>полови</w:t>
      </w:r>
      <w:r w:rsidR="00300241" w:rsidRPr="00996776">
        <w:rPr>
          <w:lang w:val="mk-MK"/>
        </w:rPr>
        <w:t xml:space="preserve"> дејствија без согласност. Бидејќи ова е многу неодамнешен развој, </w:t>
      </w:r>
      <w:r w:rsidR="009E347C" w:rsidRPr="00996776">
        <w:rPr>
          <w:lang w:val="mk-MK"/>
        </w:rPr>
        <w:t xml:space="preserve">ГРЕВИО </w:t>
      </w:r>
      <w:r w:rsidR="00300241" w:rsidRPr="00996776">
        <w:rPr>
          <w:lang w:val="mk-MK"/>
        </w:rPr>
        <w:t>немаше можност да го оцени неговото спроведување од страна на судството. Сепак, ГРЕВИО сака да истакне дека со новата легислатива за силување, одговорноста е на поединецот да се осигур</w:t>
      </w:r>
      <w:r w:rsidR="009E347C">
        <w:rPr>
          <w:lang w:val="mk-MK"/>
        </w:rPr>
        <w:t>и</w:t>
      </w:r>
      <w:r w:rsidR="00300241" w:rsidRPr="00996776">
        <w:rPr>
          <w:lang w:val="mk-MK"/>
        </w:rPr>
        <w:t xml:space="preserve"> дека сите </w:t>
      </w:r>
      <w:r w:rsidR="0044064F">
        <w:rPr>
          <w:lang w:val="mk-MK"/>
        </w:rPr>
        <w:t>полови</w:t>
      </w:r>
      <w:r w:rsidR="00300241" w:rsidRPr="00996776">
        <w:rPr>
          <w:lang w:val="mk-MK"/>
        </w:rPr>
        <w:t xml:space="preserve"> дејствија се доброволно вклучени. Оваа промена во перспективата е она што е потребно за да се оддалечи од судската пракса која премногу често се фокусира на однесувањето на жртвата, вклучувајќи го нејзиниот изглед и постапки пред, за време и по чинот</w:t>
      </w:r>
      <w:r w:rsidRPr="00996776">
        <w:rPr>
          <w:lang w:val="mk-MK"/>
        </w:rPr>
        <w:t>...”</w:t>
      </w:r>
    </w:p>
    <w:p w14:paraId="74E53425" w14:textId="7D202FBA" w:rsidR="00795EF7" w:rsidRPr="00996776" w:rsidRDefault="001D2959" w:rsidP="001D2959">
      <w:pPr>
        <w:pStyle w:val="JuHHead"/>
        <w:numPr>
          <w:ilvl w:val="0"/>
          <w:numId w:val="23"/>
        </w:numPr>
        <w:tabs>
          <w:tab w:val="num" w:pos="340"/>
        </w:tabs>
        <w:ind w:left="340" w:hanging="340"/>
        <w:rPr>
          <w:lang w:val="mk-MK"/>
        </w:rPr>
      </w:pPr>
      <w:r w:rsidRPr="00996776">
        <w:rPr>
          <w:lang w:val="mk-MK"/>
        </w:rPr>
        <w:lastRenderedPageBreak/>
        <w:t>ПРАВО</w:t>
      </w:r>
    </w:p>
    <w:p w14:paraId="180E6814" w14:textId="0C0E885B" w:rsidR="00795EF7" w:rsidRPr="00996776" w:rsidRDefault="001D2959" w:rsidP="00A21C42">
      <w:pPr>
        <w:pStyle w:val="JuHIRoman"/>
        <w:tabs>
          <w:tab w:val="left" w:pos="567"/>
          <w:tab w:val="left" w:pos="680"/>
        </w:tabs>
        <w:ind w:left="397" w:hanging="397"/>
        <w:rPr>
          <w:lang w:val="mk-MK"/>
        </w:rPr>
      </w:pPr>
      <w:r w:rsidRPr="00996776">
        <w:rPr>
          <w:lang w:val="mk-MK"/>
        </w:rPr>
        <w:t>НАВОДНА ПОВРЕДА НА ЧЛЕН 8 ОД КОНВЕНЦИЈАТА</w:t>
      </w:r>
    </w:p>
    <w:p w14:paraId="7BBB8BD2" w14:textId="73ED8330" w:rsidR="00795EF7" w:rsidRPr="00996776" w:rsidRDefault="00000000" w:rsidP="00A21C42">
      <w:pPr>
        <w:pStyle w:val="JuPara"/>
        <w:rPr>
          <w:rFonts w:cstheme="minorHAnsi"/>
          <w:color w:val="000000"/>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32" w:name="paragraph00044"/>
      <w:r w:rsidRPr="00996776">
        <w:rPr>
          <w:noProof/>
          <w:lang w:val="mk-MK"/>
        </w:rPr>
        <w:t>44</w:t>
      </w:r>
      <w:bookmarkEnd w:id="32"/>
      <w:r w:rsidRPr="00996776">
        <w:rPr>
          <w:noProof/>
          <w:lang w:val="mk-MK"/>
        </w:rPr>
        <w:fldChar w:fldCharType="end"/>
      </w:r>
      <w:r w:rsidRPr="00996776">
        <w:rPr>
          <w:lang w:val="mk-MK"/>
        </w:rPr>
        <w:t>.  </w:t>
      </w:r>
      <w:r w:rsidR="001D2959" w:rsidRPr="00996776">
        <w:rPr>
          <w:lang w:val="mk-MK"/>
        </w:rPr>
        <w:t xml:space="preserve">Апликантката се жалела според член 1 од Протоколот бр. 12 на Конвенцијата дека нејзиното право на заштита од полов напад не било обезбедено и дека, како резултат на тоа, таа била оставена без никаква правна заштита. Судот, како господар на карактеризацијата што треба да се даде во законот на фактите на случајот (види </w:t>
      </w:r>
      <w:r w:rsidRPr="00996776">
        <w:rPr>
          <w:i/>
          <w:iCs/>
          <w:lang w:val="mk-MK"/>
        </w:rPr>
        <w:t>Radomilja and Others v. Croatia</w:t>
      </w:r>
      <w:r w:rsidRPr="00996776">
        <w:rPr>
          <w:lang w:val="mk-MK"/>
        </w:rPr>
        <w:t xml:space="preserve"> [GC], </w:t>
      </w:r>
      <w:r w:rsidR="001D2959" w:rsidRPr="00996776">
        <w:rPr>
          <w:lang w:val="mk-MK"/>
        </w:rPr>
        <w:t>бр</w:t>
      </w:r>
      <w:r w:rsidRPr="00996776">
        <w:rPr>
          <w:lang w:val="mk-MK"/>
        </w:rPr>
        <w:t xml:space="preserve">. 37685/10 </w:t>
      </w:r>
      <w:r w:rsidR="001D2959" w:rsidRPr="00996776">
        <w:rPr>
          <w:lang w:val="mk-MK"/>
        </w:rPr>
        <w:t>и</w:t>
      </w:r>
      <w:r w:rsidRPr="00996776">
        <w:rPr>
          <w:lang w:val="mk-MK"/>
        </w:rPr>
        <w:t xml:space="preserve"> 22768/12, §§ 110-26, 20 </w:t>
      </w:r>
      <w:r w:rsidR="001D2959" w:rsidRPr="00996776">
        <w:rPr>
          <w:lang w:val="mk-MK"/>
        </w:rPr>
        <w:t>март</w:t>
      </w:r>
      <w:r w:rsidRPr="00996776">
        <w:rPr>
          <w:lang w:val="mk-MK"/>
        </w:rPr>
        <w:t xml:space="preserve"> 2018 </w:t>
      </w:r>
      <w:r w:rsidR="001D2959" w:rsidRPr="00996776">
        <w:rPr>
          <w:lang w:val="mk-MK"/>
        </w:rPr>
        <w:t>година и</w:t>
      </w:r>
      <w:r w:rsidRPr="00996776">
        <w:rPr>
          <w:lang w:val="mk-MK"/>
        </w:rPr>
        <w:t xml:space="preserve"> </w:t>
      </w:r>
      <w:r w:rsidRPr="00996776">
        <w:rPr>
          <w:i/>
          <w:iCs/>
          <w:lang w:val="mk-MK"/>
        </w:rPr>
        <w:t>Grosam v. the Czech Republic</w:t>
      </w:r>
      <w:r w:rsidRPr="00996776">
        <w:rPr>
          <w:lang w:val="mk-MK"/>
        </w:rPr>
        <w:t xml:space="preserve"> [GC], </w:t>
      </w:r>
      <w:r w:rsidR="001D2959" w:rsidRPr="00996776">
        <w:rPr>
          <w:lang w:val="mk-MK"/>
        </w:rPr>
        <w:t>бр</w:t>
      </w:r>
      <w:r w:rsidRPr="00996776">
        <w:rPr>
          <w:lang w:val="mk-MK"/>
        </w:rPr>
        <w:t xml:space="preserve">. 19750/13, § 90, 1 </w:t>
      </w:r>
      <w:r w:rsidR="001D2959" w:rsidRPr="00996776">
        <w:rPr>
          <w:lang w:val="mk-MK"/>
        </w:rPr>
        <w:t>јуни</w:t>
      </w:r>
      <w:r w:rsidRPr="00996776">
        <w:rPr>
          <w:lang w:val="mk-MK"/>
        </w:rPr>
        <w:t xml:space="preserve"> 2023</w:t>
      </w:r>
      <w:r w:rsidR="001D2959" w:rsidRPr="00996776">
        <w:rPr>
          <w:lang w:val="mk-MK"/>
        </w:rPr>
        <w:t xml:space="preserve"> година</w:t>
      </w:r>
      <w:r w:rsidRPr="00996776">
        <w:rPr>
          <w:lang w:val="mk-MK"/>
        </w:rPr>
        <w:t xml:space="preserve">) </w:t>
      </w:r>
      <w:r w:rsidR="001D2959" w:rsidRPr="00996776">
        <w:rPr>
          <w:rFonts w:cstheme="minorHAnsi"/>
          <w:color w:val="000000"/>
          <w:lang w:val="mk-MK"/>
        </w:rPr>
        <w:t xml:space="preserve">не смета дека е обврзана со карактеризацијата дадена од апликантката или владата (види </w:t>
      </w:r>
      <w:r w:rsidRPr="00996776">
        <w:rPr>
          <w:i/>
          <w:iCs/>
          <w:lang w:val="mk-MK"/>
        </w:rPr>
        <w:t>Ghișoiu</w:t>
      </w:r>
      <w:r w:rsidRPr="00996776">
        <w:rPr>
          <w:rFonts w:cstheme="minorHAnsi"/>
          <w:i/>
          <w:iCs/>
          <w:color w:val="000000"/>
          <w:lang w:val="mk-MK"/>
        </w:rPr>
        <w:t xml:space="preserve"> v.</w:t>
      </w:r>
      <w:r w:rsidR="00A75EA0" w:rsidRPr="00996776">
        <w:rPr>
          <w:rFonts w:cstheme="minorHAnsi"/>
          <w:i/>
          <w:iCs/>
          <w:color w:val="000000"/>
          <w:lang w:val="mk-MK"/>
        </w:rPr>
        <w:t> </w:t>
      </w:r>
      <w:r w:rsidRPr="00996776">
        <w:rPr>
          <w:rFonts w:cstheme="minorHAnsi"/>
          <w:i/>
          <w:iCs/>
          <w:color w:val="000000"/>
          <w:lang w:val="mk-MK"/>
        </w:rPr>
        <w:t xml:space="preserve">Romania </w:t>
      </w:r>
      <w:r w:rsidRPr="00996776">
        <w:rPr>
          <w:rFonts w:cstheme="minorHAnsi"/>
          <w:color w:val="000000"/>
          <w:lang w:val="mk-MK"/>
        </w:rPr>
        <w:t xml:space="preserve">(dec.), </w:t>
      </w:r>
      <w:r w:rsidR="001D2959" w:rsidRPr="00996776">
        <w:rPr>
          <w:rFonts w:cstheme="minorHAnsi"/>
          <w:color w:val="000000"/>
          <w:lang w:val="mk-MK"/>
        </w:rPr>
        <w:t>бр</w:t>
      </w:r>
      <w:r w:rsidRPr="00996776">
        <w:rPr>
          <w:rFonts w:cstheme="minorHAnsi"/>
          <w:color w:val="000000"/>
          <w:lang w:val="mk-MK"/>
        </w:rPr>
        <w:t xml:space="preserve">. </w:t>
      </w:r>
      <w:r w:rsidRPr="00996776">
        <w:rPr>
          <w:rFonts w:cstheme="minorHAnsi"/>
          <w:lang w:val="mk-MK"/>
        </w:rPr>
        <w:t>40228/20</w:t>
      </w:r>
      <w:r w:rsidRPr="00996776">
        <w:rPr>
          <w:rFonts w:cstheme="minorHAnsi"/>
          <w:color w:val="000000"/>
          <w:lang w:val="mk-MK"/>
        </w:rPr>
        <w:t xml:space="preserve">, § 42, 29 </w:t>
      </w:r>
      <w:r w:rsidR="001D2959" w:rsidRPr="00996776">
        <w:rPr>
          <w:rFonts w:cstheme="minorHAnsi"/>
          <w:color w:val="000000"/>
          <w:lang w:val="mk-MK"/>
        </w:rPr>
        <w:t>ноември</w:t>
      </w:r>
      <w:r w:rsidRPr="00996776">
        <w:rPr>
          <w:rFonts w:cstheme="minorHAnsi"/>
          <w:color w:val="000000"/>
          <w:lang w:val="mk-MK"/>
        </w:rPr>
        <w:t xml:space="preserve"> 2022</w:t>
      </w:r>
      <w:r w:rsidR="001D2959" w:rsidRPr="00996776">
        <w:rPr>
          <w:rFonts w:cstheme="minorHAnsi"/>
          <w:color w:val="000000"/>
          <w:lang w:val="mk-MK"/>
        </w:rPr>
        <w:t xml:space="preserve"> година</w:t>
      </w:r>
      <w:r w:rsidRPr="00996776">
        <w:rPr>
          <w:rFonts w:cstheme="minorHAnsi"/>
          <w:color w:val="000000"/>
          <w:lang w:val="mk-MK"/>
        </w:rPr>
        <w:t xml:space="preserve">). </w:t>
      </w:r>
      <w:r w:rsidR="001D2959" w:rsidRPr="00996776">
        <w:rPr>
          <w:rFonts w:cstheme="minorHAnsi"/>
          <w:color w:val="000000"/>
          <w:lang w:val="mk-MK"/>
        </w:rPr>
        <w:t>При известувањето за жалбата на апликантката, Судот смета дека би било посоодветно да се испита според член 8 од Конвенцијата, кој, колку што е релевантен, гласи како што следува:</w:t>
      </w:r>
    </w:p>
    <w:p w14:paraId="64EFFF35" w14:textId="003C4C4B" w:rsidR="00795EF7" w:rsidRPr="00996776" w:rsidRDefault="009E347C" w:rsidP="00A21C42">
      <w:pPr>
        <w:pStyle w:val="JuQuot"/>
        <w:rPr>
          <w:lang w:val="mk-MK"/>
        </w:rPr>
      </w:pPr>
      <w:r>
        <w:rPr>
          <w:lang w:val="mk-MK"/>
        </w:rPr>
        <w:t>„</w:t>
      </w:r>
      <w:r w:rsidRPr="00996776">
        <w:rPr>
          <w:lang w:val="mk-MK"/>
        </w:rPr>
        <w:t>1.  </w:t>
      </w:r>
      <w:r w:rsidR="001D2959" w:rsidRPr="00996776">
        <w:rPr>
          <w:lang w:val="mk-MK"/>
        </w:rPr>
        <w:t>Секој има право на почитување на својот приватен... живот ...</w:t>
      </w:r>
      <w:r>
        <w:rPr>
          <w:lang w:val="mk-MK"/>
        </w:rPr>
        <w:t>“</w:t>
      </w:r>
    </w:p>
    <w:p w14:paraId="661E8146" w14:textId="5D75F08F" w:rsidR="00795EF7" w:rsidRPr="00996776" w:rsidRDefault="001D2959" w:rsidP="00A21C42">
      <w:pPr>
        <w:pStyle w:val="JuHA"/>
        <w:rPr>
          <w:lang w:val="mk-MK"/>
        </w:rPr>
      </w:pPr>
      <w:r w:rsidRPr="00996776">
        <w:rPr>
          <w:lang w:val="mk-MK"/>
        </w:rPr>
        <w:t>Допуштеност</w:t>
      </w:r>
    </w:p>
    <w:p w14:paraId="3B523F49" w14:textId="283E3197" w:rsidR="00795EF7" w:rsidRPr="00996776" w:rsidRDefault="001D2959" w:rsidP="001D2959">
      <w:pPr>
        <w:pStyle w:val="JuH1"/>
        <w:rPr>
          <w:lang w:val="mk-MK"/>
        </w:rPr>
      </w:pPr>
      <w:r w:rsidRPr="00996776">
        <w:rPr>
          <w:lang w:val="mk-MK"/>
        </w:rPr>
        <w:t>Допуштеност на странките</w:t>
      </w:r>
    </w:p>
    <w:p w14:paraId="5D5299BA" w14:textId="4205100E"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45</w:t>
      </w:r>
      <w:r w:rsidRPr="00996776">
        <w:rPr>
          <w:noProof/>
          <w:lang w:val="mk-MK"/>
        </w:rPr>
        <w:fldChar w:fldCharType="end"/>
      </w:r>
      <w:r w:rsidRPr="00996776">
        <w:rPr>
          <w:lang w:val="mk-MK"/>
        </w:rPr>
        <w:t>.  </w:t>
      </w:r>
      <w:r w:rsidR="001D2959" w:rsidRPr="00996776">
        <w:rPr>
          <w:lang w:val="mk-MK"/>
        </w:rPr>
        <w:t xml:space="preserve">Владата изјави дека барањето било поднесено надвор од рокот од шест месеци. </w:t>
      </w:r>
      <w:r w:rsidR="003E102B" w:rsidRPr="00996776">
        <w:rPr>
          <w:lang w:val="mk-MK"/>
        </w:rPr>
        <w:t>Апликантката</w:t>
      </w:r>
      <w:r w:rsidR="001D2959" w:rsidRPr="00996776">
        <w:rPr>
          <w:lang w:val="mk-MK"/>
        </w:rPr>
        <w:t xml:space="preserve"> не требало да го чека исходот од граѓанската постапка според </w:t>
      </w:r>
      <w:r w:rsidR="006244FD" w:rsidRPr="006244FD">
        <w:rPr>
          <w:lang w:val="mk-MK"/>
        </w:rPr>
        <w:t>Закон за граѓанска одговорност за навреда и клевета</w:t>
      </w:r>
      <w:r w:rsidR="001D2959" w:rsidRPr="00996776">
        <w:rPr>
          <w:lang w:val="mk-MK"/>
        </w:rPr>
        <w:t xml:space="preserve">, кој, со оглед на формулацијата на член 6 од тој Закон и наодите на домашните судови, можел само да го заштити нејзиниот психолошки, но не и нејзиниот физички интегритет. </w:t>
      </w:r>
      <w:r w:rsidR="003E102B" w:rsidRPr="00996776">
        <w:rPr>
          <w:lang w:val="mk-MK"/>
        </w:rPr>
        <w:t xml:space="preserve">Апликантката </w:t>
      </w:r>
      <w:r w:rsidR="001D2959" w:rsidRPr="00996776">
        <w:rPr>
          <w:lang w:val="mk-MK"/>
        </w:rPr>
        <w:t>бил</w:t>
      </w:r>
      <w:r w:rsidR="003E102B" w:rsidRPr="00996776">
        <w:rPr>
          <w:lang w:val="mk-MK"/>
        </w:rPr>
        <w:t>а</w:t>
      </w:r>
      <w:r w:rsidR="001D2959" w:rsidRPr="00996776">
        <w:rPr>
          <w:lang w:val="mk-MK"/>
        </w:rPr>
        <w:t xml:space="preserve"> застапуван</w:t>
      </w:r>
      <w:r w:rsidR="003E102B" w:rsidRPr="00996776">
        <w:rPr>
          <w:lang w:val="mk-MK"/>
        </w:rPr>
        <w:t>а</w:t>
      </w:r>
      <w:r w:rsidR="001D2959" w:rsidRPr="00996776">
        <w:rPr>
          <w:lang w:val="mk-MK"/>
        </w:rPr>
        <w:t xml:space="preserve"> од адвокат во граѓанската постапка, кој требало да знае дека барањето за компензација за навреда не било ефикасен правен лек за целите на жалбата на </w:t>
      </w:r>
      <w:r w:rsidR="003E102B" w:rsidRPr="00996776">
        <w:rPr>
          <w:lang w:val="mk-MK"/>
        </w:rPr>
        <w:t xml:space="preserve">апликантката </w:t>
      </w:r>
      <w:r w:rsidR="001D2959" w:rsidRPr="00996776">
        <w:rPr>
          <w:lang w:val="mk-MK"/>
        </w:rPr>
        <w:t>пред Судот</w:t>
      </w:r>
      <w:r w:rsidRPr="00996776">
        <w:rPr>
          <w:lang w:val="mk-MK"/>
        </w:rPr>
        <w:t>.</w:t>
      </w:r>
    </w:p>
    <w:p w14:paraId="44E055FA" w14:textId="0AB2E99D"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33" w:name="paragraph00040"/>
      <w:r w:rsidRPr="00996776">
        <w:rPr>
          <w:noProof/>
          <w:lang w:val="mk-MK"/>
        </w:rPr>
        <w:t>46</w:t>
      </w:r>
      <w:bookmarkEnd w:id="33"/>
      <w:r w:rsidRPr="00996776">
        <w:rPr>
          <w:noProof/>
          <w:lang w:val="mk-MK"/>
        </w:rPr>
        <w:fldChar w:fldCharType="end"/>
      </w:r>
      <w:r w:rsidRPr="00996776">
        <w:rPr>
          <w:lang w:val="mk-MK"/>
        </w:rPr>
        <w:t>.  </w:t>
      </w:r>
      <w:r w:rsidR="001D2959" w:rsidRPr="00996776">
        <w:rPr>
          <w:lang w:val="mk-MK"/>
        </w:rPr>
        <w:t xml:space="preserve">Владата понатаму изјави дека </w:t>
      </w:r>
      <w:r w:rsidR="003E102B" w:rsidRPr="00996776">
        <w:rPr>
          <w:lang w:val="mk-MK"/>
        </w:rPr>
        <w:t xml:space="preserve">апликантката </w:t>
      </w:r>
      <w:r w:rsidR="001D2959" w:rsidRPr="00996776">
        <w:rPr>
          <w:lang w:val="mk-MK"/>
        </w:rPr>
        <w:t>не ги исцрпил</w:t>
      </w:r>
      <w:r w:rsidR="003E102B" w:rsidRPr="00996776">
        <w:rPr>
          <w:lang w:val="mk-MK"/>
        </w:rPr>
        <w:t>а</w:t>
      </w:r>
      <w:r w:rsidR="001D2959" w:rsidRPr="00996776">
        <w:rPr>
          <w:lang w:val="mk-MK"/>
        </w:rPr>
        <w:t xml:space="preserve"> достапните и ефективни домашни правни лекови. Прво, таа не воде</w:t>
      </w:r>
      <w:r w:rsidR="009E347C">
        <w:rPr>
          <w:lang w:val="mk-MK"/>
        </w:rPr>
        <w:t>ла</w:t>
      </w:r>
      <w:r w:rsidR="001D2959" w:rsidRPr="00996776">
        <w:rPr>
          <w:lang w:val="mk-MK"/>
        </w:rPr>
        <w:t xml:space="preserve"> кривично гонење според член 56(2) од Законот за кривична постапка како што беше советувана од обвинителот. Второ, таа не поднела барање за компензација за заштита на нејзините лични права според членовите 9-а и 189 од Законот за облигациони односи</w:t>
      </w:r>
      <w:r w:rsidRPr="00996776">
        <w:rPr>
          <w:lang w:val="mk-MK"/>
        </w:rPr>
        <w:t>.</w:t>
      </w:r>
    </w:p>
    <w:p w14:paraId="6D4F36C1" w14:textId="6B1D4F8F"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34" w:name="paragraph00047"/>
      <w:r w:rsidRPr="00996776">
        <w:rPr>
          <w:noProof/>
          <w:lang w:val="mk-MK"/>
        </w:rPr>
        <w:t>47</w:t>
      </w:r>
      <w:bookmarkEnd w:id="34"/>
      <w:r w:rsidRPr="00996776">
        <w:rPr>
          <w:noProof/>
          <w:lang w:val="mk-MK"/>
        </w:rPr>
        <w:fldChar w:fldCharType="end"/>
      </w:r>
      <w:r w:rsidRPr="00996776">
        <w:rPr>
          <w:lang w:val="mk-MK"/>
        </w:rPr>
        <w:t>.  </w:t>
      </w:r>
      <w:r w:rsidR="003E102B" w:rsidRPr="00996776">
        <w:rPr>
          <w:lang w:val="mk-MK"/>
        </w:rPr>
        <w:t xml:space="preserve">Во нивните дополнителни забелешки, Владата тврдеше дека апликантката не ја покренала жалбата во нејзината </w:t>
      </w:r>
      <w:r w:rsidR="00BA6582">
        <w:rPr>
          <w:lang w:val="mk-MK"/>
        </w:rPr>
        <w:t>апликација</w:t>
      </w:r>
      <w:r w:rsidR="003E102B" w:rsidRPr="00996776">
        <w:rPr>
          <w:lang w:val="mk-MK"/>
        </w:rPr>
        <w:t xml:space="preserve"> дека постоела правна празнина во домашното кривично законодавство во врска со заштитата на децата над 14-годишна возраст од „други полови дејствија“ (види </w:t>
      </w:r>
      <w:r w:rsidR="00902413">
        <w:rPr>
          <w:lang w:val="mk-MK"/>
        </w:rPr>
        <w:t>параграф</w:t>
      </w:r>
      <w:r w:rsidR="00902413" w:rsidRPr="00996776">
        <w:rPr>
          <w:lang w:val="mk-MK"/>
        </w:rPr>
        <w:t xml:space="preserve"> </w:t>
      </w:r>
      <w:r w:rsidR="003E102B" w:rsidRPr="00996776">
        <w:rPr>
          <w:lang w:val="mk-MK"/>
        </w:rPr>
        <w:t xml:space="preserve">48 подолу). Оттука, жалбата била недопуштена. Тие понатаму изјавија дека според член 2(1) од Законот </w:t>
      </w:r>
      <w:r w:rsidR="003E102B" w:rsidRPr="00996776">
        <w:rPr>
          <w:lang w:val="mk-MK"/>
        </w:rPr>
        <w:lastRenderedPageBreak/>
        <w:t>за граѓанска постапка, граѓанските судови биле спречени да одлучуваат надвор од барањето поднесено од апликантката; соодветно, толкувањето на апликантката на член 176(3) од Законот за граѓанска постапка не може да се прифати</w:t>
      </w:r>
      <w:r w:rsidRPr="00996776">
        <w:rPr>
          <w:lang w:val="mk-MK"/>
        </w:rPr>
        <w:t>.</w:t>
      </w:r>
    </w:p>
    <w:p w14:paraId="12F46946" w14:textId="42F0493B"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35" w:name="paragraph00038"/>
      <w:r w:rsidRPr="00996776">
        <w:rPr>
          <w:noProof/>
          <w:lang w:val="mk-MK"/>
        </w:rPr>
        <w:t>48</w:t>
      </w:r>
      <w:bookmarkEnd w:id="35"/>
      <w:r w:rsidRPr="00996776">
        <w:rPr>
          <w:noProof/>
          <w:lang w:val="mk-MK"/>
        </w:rPr>
        <w:fldChar w:fldCharType="end"/>
      </w:r>
      <w:r w:rsidRPr="00996776">
        <w:rPr>
          <w:lang w:val="mk-MK"/>
        </w:rPr>
        <w:t>.  </w:t>
      </w:r>
      <w:r w:rsidR="003E102B" w:rsidRPr="00996776">
        <w:rPr>
          <w:lang w:val="mk-MK"/>
        </w:rPr>
        <w:t xml:space="preserve">Апликантката тврдеше дека таа ја поднела апликацијата во рок од шест месеци од доставувањето на пресудата на апелациониот суд во граѓанската постапка, која била последниот ефикасен правен лек за целите на нејзината жалба. Казнено-правната рамка не обезбедуваше заштита на дете на возраст над 14 години од „други полови дејствија“. Кривичното дело навреда повеќе не постоело во </w:t>
      </w:r>
      <w:r w:rsidR="00BA6582">
        <w:rPr>
          <w:lang w:val="mk-MK"/>
        </w:rPr>
        <w:t>моментот</w:t>
      </w:r>
      <w:r w:rsidR="003E102B" w:rsidRPr="00996776">
        <w:rPr>
          <w:lang w:val="mk-MK"/>
        </w:rPr>
        <w:t>. Со оглед на таа правна празнина, таа не можела ефективно да преземе приватно гонење според член 56(2) од Законот за кривична постапка. Затоа, таа требаше да прибегне кон заштита според граѓанското право со поднесување барање за надомест во постапките во кои судовите може директно да ја применат Конвенцијата. Апликантката не сметала дека кривичната постапка била единствениот ефикасен правен лек. Според член 176(3) од Законот за граѓанска постапка, домашните судови не биле обврзани со основите наведени во нејзин</w:t>
      </w:r>
      <w:r w:rsidR="003F7E87">
        <w:rPr>
          <w:lang w:val="mk-MK"/>
        </w:rPr>
        <w:t xml:space="preserve">ата тужба </w:t>
      </w:r>
      <w:r w:rsidR="003E102B" w:rsidRPr="00996776">
        <w:rPr>
          <w:lang w:val="mk-MK"/>
        </w:rPr>
        <w:t>за надомест</w:t>
      </w:r>
      <w:r w:rsidRPr="00996776">
        <w:rPr>
          <w:lang w:val="mk-MK"/>
        </w:rPr>
        <w:t>.</w:t>
      </w:r>
    </w:p>
    <w:p w14:paraId="45777048" w14:textId="09C7E879" w:rsidR="00795EF7" w:rsidRPr="00996776" w:rsidRDefault="008F1C59" w:rsidP="00A21C42">
      <w:pPr>
        <w:pStyle w:val="JuH1"/>
        <w:rPr>
          <w:lang w:val="mk-MK"/>
        </w:rPr>
      </w:pPr>
      <w:r w:rsidRPr="00996776">
        <w:rPr>
          <w:lang w:val="mk-MK"/>
        </w:rPr>
        <w:tab/>
        <w:t xml:space="preserve">Оценка на Судот </w:t>
      </w:r>
    </w:p>
    <w:p w14:paraId="121B496F" w14:textId="59314026" w:rsidR="00795EF7" w:rsidRPr="00996776" w:rsidRDefault="00000000" w:rsidP="00A21C42">
      <w:pPr>
        <w:pStyle w:val="JuPara"/>
        <w:rPr>
          <w:rFonts w:cstheme="minorHAnsi"/>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r w:rsidR="00A21C42" w:rsidRPr="00996776">
        <w:rPr>
          <w:rFonts w:cstheme="minorHAnsi"/>
          <w:noProof/>
          <w:lang w:val="mk-MK"/>
        </w:rPr>
        <w:t>49</w:t>
      </w:r>
      <w:r w:rsidRPr="00996776">
        <w:rPr>
          <w:rFonts w:cstheme="minorHAnsi"/>
          <w:lang w:val="mk-MK"/>
        </w:rPr>
        <w:fldChar w:fldCharType="end"/>
      </w:r>
      <w:r w:rsidRPr="00996776">
        <w:rPr>
          <w:rFonts w:cstheme="minorHAnsi"/>
          <w:lang w:val="mk-MK"/>
        </w:rPr>
        <w:t>.  </w:t>
      </w:r>
      <w:r w:rsidR="00996776" w:rsidRPr="00996776">
        <w:rPr>
          <w:rFonts w:cstheme="minorHAnsi"/>
          <w:lang w:val="mk-MK"/>
        </w:rPr>
        <w:t xml:space="preserve">Со цел да се утврди дали апликантката ја исполнила обврската да ги исцрпи домашните правни лекови во однос на конкретните околности на случајот, Судот прво мора да го идентификува дејствието на властите на тужената држава за кое се жали апликантката (види </w:t>
      </w:r>
      <w:r w:rsidRPr="00996776">
        <w:rPr>
          <w:rFonts w:cstheme="minorHAnsi"/>
          <w:i/>
          <w:iCs/>
          <w:color w:val="000000"/>
          <w:lang w:val="mk-MK"/>
        </w:rPr>
        <w:t>Jeronovičs v. Latvia</w:t>
      </w:r>
      <w:r w:rsidRPr="00996776">
        <w:rPr>
          <w:rFonts w:cstheme="minorHAnsi"/>
          <w:color w:val="000000"/>
          <w:lang w:val="mk-MK"/>
        </w:rPr>
        <w:t xml:space="preserve"> [GC], </w:t>
      </w:r>
      <w:r w:rsidR="00996776" w:rsidRPr="00996776">
        <w:rPr>
          <w:rFonts w:cstheme="minorHAnsi"/>
          <w:color w:val="000000"/>
          <w:lang w:val="mk-MK"/>
        </w:rPr>
        <w:t>бр</w:t>
      </w:r>
      <w:r w:rsidRPr="00996776">
        <w:rPr>
          <w:rFonts w:cstheme="minorHAnsi"/>
          <w:color w:val="000000"/>
          <w:lang w:val="mk-MK"/>
        </w:rPr>
        <w:t xml:space="preserve">. 44898/10, § 76, 5 </w:t>
      </w:r>
      <w:r w:rsidR="00996776" w:rsidRPr="00996776">
        <w:rPr>
          <w:rFonts w:cstheme="minorHAnsi"/>
          <w:color w:val="000000"/>
          <w:lang w:val="mk-MK"/>
        </w:rPr>
        <w:t>јули</w:t>
      </w:r>
      <w:r w:rsidRPr="00996776">
        <w:rPr>
          <w:rFonts w:cstheme="minorHAnsi"/>
          <w:color w:val="000000"/>
          <w:lang w:val="mk-MK"/>
        </w:rPr>
        <w:t xml:space="preserve"> 2016</w:t>
      </w:r>
      <w:r w:rsidR="00996776" w:rsidRPr="00996776">
        <w:rPr>
          <w:rFonts w:cstheme="minorHAnsi"/>
          <w:color w:val="000000"/>
          <w:lang w:val="mk-MK"/>
        </w:rPr>
        <w:t xml:space="preserve"> година</w:t>
      </w:r>
      <w:r w:rsidRPr="00996776">
        <w:rPr>
          <w:rFonts w:cstheme="minorHAnsi"/>
          <w:color w:val="000000"/>
          <w:lang w:val="mk-MK"/>
        </w:rPr>
        <w:t>).</w:t>
      </w:r>
    </w:p>
    <w:p w14:paraId="3BDCE18B" w14:textId="15E04971" w:rsidR="00795EF7" w:rsidRPr="00996776" w:rsidRDefault="00000000" w:rsidP="00A21C42">
      <w:pPr>
        <w:pStyle w:val="JuPara"/>
        <w:rPr>
          <w:rFonts w:cstheme="minorHAnsi"/>
          <w:color w:val="000000"/>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r w:rsidR="00A21C42" w:rsidRPr="00996776">
        <w:rPr>
          <w:rFonts w:cstheme="minorHAnsi"/>
          <w:noProof/>
          <w:lang w:val="mk-MK"/>
        </w:rPr>
        <w:t>50</w:t>
      </w:r>
      <w:r w:rsidRPr="00996776">
        <w:rPr>
          <w:rFonts w:cstheme="minorHAnsi"/>
          <w:lang w:val="mk-MK"/>
        </w:rPr>
        <w:fldChar w:fldCharType="end"/>
      </w:r>
      <w:r w:rsidRPr="00996776">
        <w:rPr>
          <w:rFonts w:cstheme="minorHAnsi"/>
          <w:lang w:val="mk-MK"/>
        </w:rPr>
        <w:t>.  </w:t>
      </w:r>
      <w:r w:rsidR="00996776" w:rsidRPr="00996776">
        <w:rPr>
          <w:rFonts w:cstheme="minorHAnsi"/>
          <w:lang w:val="mk-MK"/>
        </w:rPr>
        <w:t>Барањата содржани во член 35 §</w:t>
      </w:r>
      <w:r w:rsidR="00996776">
        <w:rPr>
          <w:rFonts w:cstheme="minorHAnsi"/>
          <w:lang w:val="mk-MK"/>
        </w:rPr>
        <w:t xml:space="preserve"> </w:t>
      </w:r>
      <w:r w:rsidR="00996776" w:rsidRPr="00996776">
        <w:rPr>
          <w:rFonts w:cstheme="minorHAnsi"/>
          <w:lang w:val="mk-MK"/>
        </w:rPr>
        <w:t>1 во однос на исцрпувањето на домашните правни лекови и периодот од шест месеци се тесно меѓусебно поврзани. Така, по правило, рокот од шест месеци тече од датумот на конечната одлука во процесот на исцрпување на домашните правни лекови. Член</w:t>
      </w:r>
      <w:r w:rsidR="00996776">
        <w:rPr>
          <w:rFonts w:cstheme="minorHAnsi"/>
          <w:lang w:val="mk-MK"/>
        </w:rPr>
        <w:t xml:space="preserve"> </w:t>
      </w:r>
      <w:r w:rsidR="00996776" w:rsidRPr="00996776">
        <w:rPr>
          <w:rFonts w:cstheme="minorHAnsi"/>
          <w:lang w:val="mk-MK"/>
        </w:rPr>
        <w:t>35 § 1 не може да се толкува на начин што ќе бара од апликант</w:t>
      </w:r>
      <w:r w:rsidR="00996776">
        <w:rPr>
          <w:rFonts w:cstheme="minorHAnsi"/>
          <w:lang w:val="mk-MK"/>
        </w:rPr>
        <w:t>ката</w:t>
      </w:r>
      <w:r w:rsidR="00996776" w:rsidRPr="00996776">
        <w:rPr>
          <w:rFonts w:cstheme="minorHAnsi"/>
          <w:lang w:val="mk-MK"/>
        </w:rPr>
        <w:t xml:space="preserve"> да го извести Судот за </w:t>
      </w:r>
      <w:r w:rsidR="00996776">
        <w:rPr>
          <w:rFonts w:cstheme="minorHAnsi"/>
          <w:lang w:val="mk-MK"/>
        </w:rPr>
        <w:t>нејзината</w:t>
      </w:r>
      <w:r w:rsidR="00996776" w:rsidRPr="00996776">
        <w:rPr>
          <w:rFonts w:cstheme="minorHAnsi"/>
          <w:lang w:val="mk-MK"/>
        </w:rPr>
        <w:t xml:space="preserve"> жалба пред конечно да се реши </w:t>
      </w:r>
      <w:r w:rsidR="00996776">
        <w:rPr>
          <w:rFonts w:cstheme="minorHAnsi"/>
          <w:lang w:val="mk-MK"/>
        </w:rPr>
        <w:t>нејзината</w:t>
      </w:r>
      <w:r w:rsidR="00996776" w:rsidRPr="00996776">
        <w:rPr>
          <w:rFonts w:cstheme="minorHAnsi"/>
          <w:lang w:val="mk-MK"/>
        </w:rPr>
        <w:t xml:space="preserve"> позиција во врска со прашањето на домашно ниво, во спротивно начелото на супсидијарност би било прекршено. Меѓутоа, оваа одредба дозволува да се земат предвид само правните лекови кои се нормални и ефективни, бидејќи апликант</w:t>
      </w:r>
      <w:r w:rsidR="00996776">
        <w:rPr>
          <w:rFonts w:cstheme="minorHAnsi"/>
          <w:lang w:val="mk-MK"/>
        </w:rPr>
        <w:t>ката</w:t>
      </w:r>
      <w:r w:rsidR="00996776" w:rsidRPr="00996776">
        <w:rPr>
          <w:rFonts w:cstheme="minorHAnsi"/>
          <w:lang w:val="mk-MK"/>
        </w:rPr>
        <w:t xml:space="preserve"> не може да го продолжи строгиот временски рок наметнат според Конвенцијата со настојување да поднесе несоодветни или погрешно замислени барања до тела или институции кои немаат овластување или надлежност да понудат ефективна отштета за жалбата во прашање според Конвенцијата. Така, барањето правни лекови кои не ги задоволуваат барањата од член 35 § 1 нема да бидат разгледани од страна на Судот за целите на утврдување на датумот на „конечната одлука“ или за пресметување на почетната точка за водење на шестмесечното правило (види, на пример,</w:t>
      </w:r>
      <w:r w:rsidRPr="00996776">
        <w:rPr>
          <w:rFonts w:cstheme="minorHAnsi"/>
          <w:color w:val="000000"/>
          <w:lang w:val="mk-MK"/>
        </w:rPr>
        <w:t>,</w:t>
      </w:r>
      <w:r w:rsidR="00BC55D9" w:rsidRPr="00996776">
        <w:rPr>
          <w:rFonts w:cstheme="minorHAnsi"/>
          <w:color w:val="000000"/>
          <w:lang w:val="mk-MK"/>
        </w:rPr>
        <w:t xml:space="preserve"> </w:t>
      </w:r>
      <w:r w:rsidRPr="00996776">
        <w:rPr>
          <w:rFonts w:cstheme="minorHAnsi"/>
          <w:i/>
          <w:iCs/>
          <w:color w:val="000000"/>
          <w:lang w:val="mk-MK"/>
        </w:rPr>
        <w:t>Savickis and Others v. Latvia </w:t>
      </w:r>
      <w:r w:rsidRPr="00996776">
        <w:rPr>
          <w:rFonts w:cstheme="minorHAnsi"/>
          <w:color w:val="000000"/>
          <w:lang w:val="mk-MK"/>
        </w:rPr>
        <w:t xml:space="preserve">[GC], </w:t>
      </w:r>
      <w:r w:rsidR="00996776" w:rsidRPr="00996776">
        <w:rPr>
          <w:rFonts w:cstheme="minorHAnsi"/>
          <w:color w:val="000000"/>
          <w:lang w:val="mk-MK"/>
        </w:rPr>
        <w:t>бр</w:t>
      </w:r>
      <w:r w:rsidRPr="00996776">
        <w:rPr>
          <w:rFonts w:cstheme="minorHAnsi"/>
          <w:color w:val="000000"/>
          <w:lang w:val="mk-MK"/>
        </w:rPr>
        <w:t xml:space="preserve">. 49270/11, § 131, </w:t>
      </w:r>
      <w:r w:rsidRPr="00996776">
        <w:rPr>
          <w:rFonts w:cstheme="minorHAnsi"/>
          <w:color w:val="000000"/>
          <w:lang w:val="mk-MK"/>
        </w:rPr>
        <w:lastRenderedPageBreak/>
        <w:t xml:space="preserve">9 </w:t>
      </w:r>
      <w:r w:rsidR="00996776" w:rsidRPr="00996776">
        <w:rPr>
          <w:rFonts w:cstheme="minorHAnsi"/>
          <w:color w:val="000000"/>
          <w:lang w:val="mk-MK"/>
        </w:rPr>
        <w:t>јуни</w:t>
      </w:r>
      <w:r w:rsidRPr="00996776">
        <w:rPr>
          <w:rFonts w:cstheme="minorHAnsi"/>
          <w:color w:val="000000"/>
          <w:lang w:val="mk-MK"/>
        </w:rPr>
        <w:t xml:space="preserve"> 2022</w:t>
      </w:r>
      <w:r w:rsidR="00996776" w:rsidRPr="00996776">
        <w:rPr>
          <w:rFonts w:cstheme="minorHAnsi"/>
          <w:color w:val="000000"/>
          <w:lang w:val="mk-MK"/>
        </w:rPr>
        <w:t xml:space="preserve"> година</w:t>
      </w:r>
      <w:r w:rsidRPr="00996776">
        <w:rPr>
          <w:rFonts w:cstheme="minorHAnsi"/>
          <w:color w:val="000000"/>
          <w:lang w:val="mk-MK"/>
        </w:rPr>
        <w:t>).</w:t>
      </w:r>
      <w:r w:rsidRPr="00996776">
        <w:rPr>
          <w:lang w:val="mk-MK"/>
        </w:rPr>
        <w:t xml:space="preserve"> </w:t>
      </w:r>
      <w:r w:rsidR="00996776" w:rsidRPr="00996776">
        <w:rPr>
          <w:lang w:val="mk-MK"/>
        </w:rPr>
        <w:t xml:space="preserve">Општите принципи во однос на ефективноста на домашните правни лекови според член 35 § 1 од Конвенцијата се наведени во </w:t>
      </w:r>
      <w:r w:rsidRPr="00996776">
        <w:rPr>
          <w:i/>
          <w:iCs/>
          <w:lang w:val="mk-MK"/>
        </w:rPr>
        <w:t>Vučković and Others v. Serbia</w:t>
      </w:r>
      <w:r w:rsidRPr="00996776">
        <w:rPr>
          <w:lang w:val="mk-MK"/>
        </w:rPr>
        <w:t xml:space="preserve"> ((</w:t>
      </w:r>
      <w:r w:rsidR="00996776" w:rsidRPr="00996776">
        <w:rPr>
          <w:lang w:val="mk-MK"/>
        </w:rPr>
        <w:t>прелиминарен приговор) [GC] (бр. 17153/11 и 29 други, §§ 74-77, 25 март 2014 година).</w:t>
      </w:r>
    </w:p>
    <w:p w14:paraId="23C57082" w14:textId="731D0DC4" w:rsidR="00795EF7" w:rsidRPr="00996776" w:rsidRDefault="00000000" w:rsidP="00A21C42">
      <w:pPr>
        <w:pStyle w:val="JuPara"/>
        <w:rPr>
          <w:rFonts w:ascii="Arial" w:hAnsi="Arial" w:cs="Arial"/>
          <w:color w:val="000000"/>
          <w:lang w:val="mk-MK"/>
        </w:rPr>
      </w:pPr>
      <w:r w:rsidRPr="00996776">
        <w:rPr>
          <w:rFonts w:cstheme="minorHAnsi"/>
          <w:color w:val="000000"/>
          <w:lang w:val="mk-MK"/>
        </w:rPr>
        <w:fldChar w:fldCharType="begin"/>
      </w:r>
      <w:r w:rsidRPr="00996776">
        <w:rPr>
          <w:rFonts w:cstheme="minorHAnsi"/>
          <w:color w:val="000000"/>
          <w:lang w:val="mk-MK"/>
        </w:rPr>
        <w:instrText xml:space="preserve"> SEQ level0 \*arabic \* MERGEFORMAT </w:instrText>
      </w:r>
      <w:r w:rsidRPr="00996776">
        <w:rPr>
          <w:rFonts w:cstheme="minorHAnsi"/>
          <w:color w:val="000000"/>
          <w:lang w:val="mk-MK"/>
        </w:rPr>
        <w:fldChar w:fldCharType="separate"/>
      </w:r>
      <w:r w:rsidR="00A21C42" w:rsidRPr="00996776">
        <w:rPr>
          <w:rFonts w:cstheme="minorHAnsi"/>
          <w:noProof/>
          <w:color w:val="000000"/>
          <w:lang w:val="mk-MK"/>
        </w:rPr>
        <w:t>51</w:t>
      </w:r>
      <w:r w:rsidRPr="00996776">
        <w:rPr>
          <w:rFonts w:cstheme="minorHAnsi"/>
          <w:color w:val="000000"/>
          <w:lang w:val="mk-MK"/>
        </w:rPr>
        <w:fldChar w:fldCharType="end"/>
      </w:r>
      <w:r w:rsidRPr="00996776">
        <w:rPr>
          <w:rFonts w:cstheme="minorHAnsi"/>
          <w:color w:val="000000"/>
          <w:lang w:val="mk-MK"/>
        </w:rPr>
        <w:t>.  </w:t>
      </w:r>
      <w:r w:rsidR="00996776" w:rsidRPr="00996776">
        <w:rPr>
          <w:lang w:val="mk-MK"/>
        </w:rPr>
        <w:t xml:space="preserve">Како општо правило, Судот не испитува никакви нови прашања покренати откако Владата доби известување за </w:t>
      </w:r>
      <w:r w:rsidR="00F81958">
        <w:rPr>
          <w:lang w:val="mk-MK"/>
        </w:rPr>
        <w:t>апликацијата</w:t>
      </w:r>
      <w:r w:rsidR="00996776" w:rsidRPr="00996776">
        <w:rPr>
          <w:lang w:val="mk-MK"/>
        </w:rPr>
        <w:t xml:space="preserve">, освен ако новите работи </w:t>
      </w:r>
      <w:r w:rsidR="009E347C" w:rsidRPr="009E347C">
        <w:rPr>
          <w:lang w:val="mk-MK"/>
        </w:rPr>
        <w:t xml:space="preserve">не претставуваат елаборација </w:t>
      </w:r>
      <w:r w:rsidR="00996776" w:rsidRPr="00996776">
        <w:rPr>
          <w:lang w:val="mk-MK"/>
        </w:rPr>
        <w:t xml:space="preserve">на првичните жалби на </w:t>
      </w:r>
      <w:r w:rsidR="00F81958">
        <w:rPr>
          <w:lang w:val="mk-MK"/>
        </w:rPr>
        <w:t>апликантката</w:t>
      </w:r>
      <w:r w:rsidR="00996776" w:rsidRPr="00996776">
        <w:rPr>
          <w:lang w:val="mk-MK"/>
        </w:rPr>
        <w:t xml:space="preserve"> до Судот (види, на пример</w:t>
      </w:r>
      <w:r w:rsidRPr="00996776">
        <w:rPr>
          <w:lang w:val="mk-MK"/>
        </w:rPr>
        <w:t xml:space="preserve">, </w:t>
      </w:r>
      <w:bookmarkStart w:id="36" w:name="_cl20705THELAW"/>
      <w:r w:rsidRPr="00996776">
        <w:rPr>
          <w:i/>
          <w:iCs/>
          <w:lang w:val="mk-MK"/>
        </w:rPr>
        <w:t>Aliyev v. Azerbaijan</w:t>
      </w:r>
      <w:bookmarkEnd w:id="36"/>
      <w:r w:rsidRPr="00996776">
        <w:rPr>
          <w:lang w:val="mk-MK"/>
        </w:rPr>
        <w:t xml:space="preserve">, </w:t>
      </w:r>
      <w:r w:rsidR="00996776" w:rsidRPr="00996776">
        <w:rPr>
          <w:lang w:val="mk-MK"/>
        </w:rPr>
        <w:t>бр. 68762/14 и 71200/14, § 94, 20 септември 2018 година). Меѓутоа, бидејќи апликант</w:t>
      </w:r>
      <w:r w:rsidR="00F81958">
        <w:rPr>
          <w:lang w:val="mk-MK"/>
        </w:rPr>
        <w:t>ката</w:t>
      </w:r>
      <w:r w:rsidR="00996776" w:rsidRPr="00996776">
        <w:rPr>
          <w:lang w:val="mk-MK"/>
        </w:rPr>
        <w:t xml:space="preserve"> последователно може да ги разјасни или елаборира своите првични поднесоци, Судот мора да го земе предвид не само формуларот за апликација, туку и целокупноста на неговите поднесоци во текот на постапката пред него, што може да ги отстрани сите првични пропусти или нејасн</w:t>
      </w:r>
      <w:r w:rsidR="00F81958">
        <w:rPr>
          <w:lang w:val="mk-MK"/>
        </w:rPr>
        <w:t>отии</w:t>
      </w:r>
      <w:r w:rsidR="00996776" w:rsidRPr="00996776">
        <w:rPr>
          <w:lang w:val="mk-MK"/>
        </w:rPr>
        <w:t xml:space="preserve"> (исто, во врска со </w:t>
      </w:r>
      <w:r w:rsidRPr="00996776">
        <w:rPr>
          <w:i/>
          <w:iCs/>
          <w:lang w:val="mk-MK"/>
        </w:rPr>
        <w:t>Radomilja</w:t>
      </w:r>
      <w:r w:rsidR="00BC55D9" w:rsidRPr="00996776">
        <w:rPr>
          <w:i/>
          <w:iCs/>
          <w:lang w:val="mk-MK"/>
        </w:rPr>
        <w:t xml:space="preserve"> </w:t>
      </w:r>
      <w:r w:rsidRPr="00996776">
        <w:rPr>
          <w:i/>
          <w:iCs/>
          <w:lang w:val="mk-MK"/>
        </w:rPr>
        <w:t>and</w:t>
      </w:r>
      <w:r w:rsidR="00BC55D9" w:rsidRPr="00996776">
        <w:rPr>
          <w:i/>
          <w:iCs/>
          <w:lang w:val="mk-MK"/>
        </w:rPr>
        <w:t> </w:t>
      </w:r>
      <w:r w:rsidRPr="00996776">
        <w:rPr>
          <w:i/>
          <w:iCs/>
          <w:lang w:val="mk-MK"/>
        </w:rPr>
        <w:t>Others</w:t>
      </w:r>
      <w:r w:rsidRPr="00996776">
        <w:rPr>
          <w:lang w:val="mk-MK"/>
        </w:rPr>
        <w:t xml:space="preserve">, </w:t>
      </w:r>
      <w:r w:rsidR="00996776" w:rsidRPr="00996776">
        <w:rPr>
          <w:lang w:val="mk-MK"/>
        </w:rPr>
        <w:t xml:space="preserve">цитиран погоре, §12 и §12). Жалбата се состои од два елементи: фактички наводи и правни аргументи (ibid., § 126, и </w:t>
      </w:r>
      <w:r w:rsidR="00996776" w:rsidRPr="00996776">
        <w:rPr>
          <w:i/>
          <w:iCs/>
          <w:lang w:val="mk-MK"/>
        </w:rPr>
        <w:t>Grosam</w:t>
      </w:r>
      <w:r w:rsidR="00996776" w:rsidRPr="00996776">
        <w:rPr>
          <w:lang w:val="mk-MK"/>
        </w:rPr>
        <w:t>, цитиран погоре, § 88).</w:t>
      </w:r>
    </w:p>
    <w:p w14:paraId="6879EAFD" w14:textId="1B940C68" w:rsidR="00795EF7" w:rsidRPr="00996776" w:rsidRDefault="00000000" w:rsidP="00A21C42">
      <w:pPr>
        <w:pStyle w:val="JuPara"/>
        <w:rPr>
          <w:rFonts w:cstheme="minorHAnsi"/>
          <w:color w:val="000000" w:themeColor="text1"/>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r w:rsidR="00A21C42" w:rsidRPr="00996776">
        <w:rPr>
          <w:rFonts w:cstheme="minorHAnsi"/>
          <w:noProof/>
          <w:lang w:val="mk-MK"/>
        </w:rPr>
        <w:t>52</w:t>
      </w:r>
      <w:r w:rsidRPr="00996776">
        <w:rPr>
          <w:rFonts w:cstheme="minorHAnsi"/>
          <w:lang w:val="mk-MK"/>
        </w:rPr>
        <w:fldChar w:fldCharType="end"/>
      </w:r>
      <w:r w:rsidRPr="00996776">
        <w:rPr>
          <w:rFonts w:cstheme="minorHAnsi"/>
          <w:lang w:val="mk-MK"/>
        </w:rPr>
        <w:t>.  </w:t>
      </w:r>
      <w:r w:rsidR="00F81958" w:rsidRPr="00F81958">
        <w:rPr>
          <w:rFonts w:cstheme="minorHAnsi"/>
          <w:lang w:val="mk-MK"/>
        </w:rPr>
        <w:t xml:space="preserve">Судот, исто така, повторува дека ефикасна заштита од </w:t>
      </w:r>
      <w:r w:rsidR="0044064F">
        <w:rPr>
          <w:rFonts w:cstheme="minorHAnsi"/>
          <w:lang w:val="mk-MK"/>
        </w:rPr>
        <w:t>полова</w:t>
      </w:r>
      <w:r w:rsidR="00F81958" w:rsidRPr="00F81958">
        <w:rPr>
          <w:rFonts w:cstheme="minorHAnsi"/>
          <w:lang w:val="mk-MK"/>
        </w:rPr>
        <w:t xml:space="preserve"> злоупотреба бара мерки од казнено-правна природа (види, меѓу многу други органи</w:t>
      </w:r>
      <w:r w:rsidRPr="00996776">
        <w:rPr>
          <w:rFonts w:cstheme="minorHAnsi"/>
          <w:color w:val="000000"/>
          <w:lang w:val="mk-MK"/>
        </w:rPr>
        <w:t xml:space="preserve">, </w:t>
      </w:r>
      <w:bookmarkStart w:id="37" w:name="_cl30820"/>
      <w:r w:rsidRPr="00996776">
        <w:rPr>
          <w:rFonts w:cstheme="minorHAnsi"/>
          <w:i/>
          <w:iCs/>
          <w:color w:val="000000"/>
          <w:lang w:val="mk-MK"/>
        </w:rPr>
        <w:t>M.C. v. Bulgaria</w:t>
      </w:r>
      <w:bookmarkEnd w:id="37"/>
      <w:r w:rsidRPr="00996776">
        <w:rPr>
          <w:rFonts w:cstheme="minorHAnsi"/>
          <w:color w:val="000000"/>
          <w:lang w:val="mk-MK"/>
        </w:rPr>
        <w:t xml:space="preserve">, </w:t>
      </w:r>
      <w:r w:rsidR="00F81958">
        <w:rPr>
          <w:rFonts w:cstheme="minorHAnsi"/>
          <w:color w:val="000000"/>
          <w:lang w:val="mk-MK"/>
        </w:rPr>
        <w:t>бр</w:t>
      </w:r>
      <w:r w:rsidRPr="00996776">
        <w:rPr>
          <w:rFonts w:cstheme="minorHAnsi"/>
          <w:color w:val="000000"/>
          <w:lang w:val="mk-MK"/>
        </w:rPr>
        <w:t xml:space="preserve">. 39272/98, § 186, </w:t>
      </w:r>
      <w:r w:rsidR="00F81958">
        <w:rPr>
          <w:rFonts w:cstheme="minorHAnsi"/>
          <w:color w:val="000000"/>
          <w:lang w:val="mk-MK"/>
        </w:rPr>
        <w:t>ЕСЧП</w:t>
      </w:r>
      <w:r w:rsidRPr="00996776">
        <w:rPr>
          <w:rFonts w:cstheme="minorHAnsi"/>
          <w:color w:val="000000"/>
          <w:lang w:val="mk-MK"/>
        </w:rPr>
        <w:t xml:space="preserve"> 2003-XII; </w:t>
      </w:r>
      <w:r w:rsidR="00F81958">
        <w:rPr>
          <w:rFonts w:cstheme="minorHAnsi"/>
          <w:color w:val="000000"/>
          <w:lang w:val="mk-MK"/>
        </w:rPr>
        <w:t>види исто</w:t>
      </w:r>
      <w:r w:rsidRPr="00996776">
        <w:rPr>
          <w:rFonts w:cstheme="minorHAnsi"/>
          <w:color w:val="000000"/>
          <w:lang w:val="mk-MK"/>
        </w:rPr>
        <w:t xml:space="preserve"> </w:t>
      </w:r>
      <w:bookmarkStart w:id="38" w:name="_cl20021THELAW"/>
      <w:r w:rsidRPr="00996776">
        <w:rPr>
          <w:rFonts w:cstheme="minorHAnsi"/>
          <w:i/>
          <w:iCs/>
          <w:color w:val="000000"/>
          <w:lang w:val="mk-MK"/>
        </w:rPr>
        <w:t>A and B v. Croatia</w:t>
      </w:r>
      <w:bookmarkEnd w:id="38"/>
      <w:r w:rsidRPr="00996776">
        <w:rPr>
          <w:rFonts w:cstheme="minorHAnsi"/>
          <w:color w:val="000000"/>
          <w:lang w:val="mk-MK"/>
        </w:rPr>
        <w:t xml:space="preserve">, </w:t>
      </w:r>
      <w:r w:rsidR="00F81958">
        <w:rPr>
          <w:rFonts w:cstheme="minorHAnsi"/>
          <w:color w:val="000000"/>
          <w:lang w:val="mk-MK"/>
        </w:rPr>
        <w:t>бр</w:t>
      </w:r>
      <w:r w:rsidRPr="00996776">
        <w:rPr>
          <w:rFonts w:cstheme="minorHAnsi"/>
          <w:color w:val="000000"/>
          <w:lang w:val="mk-MK"/>
        </w:rPr>
        <w:t xml:space="preserve">. 7144/15, § 110, 20 </w:t>
      </w:r>
      <w:r w:rsidR="00F81958">
        <w:rPr>
          <w:rFonts w:cstheme="minorHAnsi"/>
          <w:color w:val="000000"/>
          <w:lang w:val="mk-MK"/>
        </w:rPr>
        <w:t>јуни</w:t>
      </w:r>
      <w:r w:rsidRPr="00996776">
        <w:rPr>
          <w:rFonts w:cstheme="minorHAnsi"/>
          <w:color w:val="000000"/>
          <w:lang w:val="mk-MK"/>
        </w:rPr>
        <w:t xml:space="preserve"> 2019 </w:t>
      </w:r>
      <w:r w:rsidR="00F81958">
        <w:rPr>
          <w:rFonts w:cstheme="minorHAnsi"/>
          <w:color w:val="000000"/>
          <w:lang w:val="mk-MK"/>
        </w:rPr>
        <w:t>година и</w:t>
      </w:r>
      <w:r w:rsidRPr="00996776">
        <w:rPr>
          <w:rFonts w:cstheme="minorHAnsi"/>
          <w:color w:val="000000"/>
          <w:lang w:val="mk-MK"/>
        </w:rPr>
        <w:t xml:space="preserve">, </w:t>
      </w:r>
      <w:r w:rsidR="00F81958">
        <w:rPr>
          <w:rFonts w:cstheme="minorHAnsi"/>
          <w:color w:val="000000"/>
          <w:lang w:val="mk-MK"/>
        </w:rPr>
        <w:t>повеќе</w:t>
      </w:r>
      <w:r w:rsidRPr="00996776">
        <w:rPr>
          <w:rFonts w:cstheme="minorHAnsi"/>
          <w:color w:val="000000"/>
          <w:lang w:val="mk-MK"/>
        </w:rPr>
        <w:t xml:space="preserve"> </w:t>
      </w:r>
      <w:bookmarkStart w:id="39" w:name="_cl43917THELAW"/>
      <w:r w:rsidRPr="00996776">
        <w:rPr>
          <w:rFonts w:cstheme="minorHAnsi"/>
          <w:i/>
          <w:iCs/>
          <w:color w:val="000000"/>
          <w:lang w:val="mk-MK"/>
        </w:rPr>
        <w:t>Vučković v. Croatia</w:t>
      </w:r>
      <w:bookmarkEnd w:id="39"/>
      <w:r w:rsidRPr="00996776">
        <w:rPr>
          <w:rFonts w:cstheme="minorHAnsi"/>
          <w:color w:val="000000"/>
          <w:lang w:val="mk-MK"/>
        </w:rPr>
        <w:t xml:space="preserve">, </w:t>
      </w:r>
      <w:r w:rsidR="00F81958">
        <w:rPr>
          <w:rFonts w:cstheme="minorHAnsi"/>
          <w:color w:val="000000"/>
          <w:lang w:val="mk-MK"/>
        </w:rPr>
        <w:t>бр</w:t>
      </w:r>
      <w:r w:rsidRPr="00996776">
        <w:rPr>
          <w:rFonts w:cstheme="minorHAnsi"/>
          <w:color w:val="000000"/>
          <w:lang w:val="mk-MK"/>
        </w:rPr>
        <w:t xml:space="preserve">. 15798/20, § 50, 12 </w:t>
      </w:r>
      <w:r w:rsidR="00F81958">
        <w:rPr>
          <w:rFonts w:cstheme="minorHAnsi"/>
          <w:color w:val="000000"/>
          <w:lang w:val="mk-MK"/>
        </w:rPr>
        <w:t>декември</w:t>
      </w:r>
      <w:r w:rsidRPr="00996776">
        <w:rPr>
          <w:rFonts w:cstheme="minorHAnsi"/>
          <w:color w:val="000000"/>
          <w:lang w:val="mk-MK"/>
        </w:rPr>
        <w:t xml:space="preserve"> 2023</w:t>
      </w:r>
      <w:r w:rsidR="00F81958">
        <w:rPr>
          <w:rFonts w:cstheme="minorHAnsi"/>
          <w:color w:val="000000"/>
          <w:lang w:val="mk-MK"/>
        </w:rPr>
        <w:t xml:space="preserve"> година</w:t>
      </w:r>
      <w:r w:rsidRPr="00996776">
        <w:rPr>
          <w:lang w:val="mk-MK"/>
        </w:rPr>
        <w:t xml:space="preserve">). </w:t>
      </w:r>
      <w:r w:rsidR="00F81958" w:rsidRPr="00F81958">
        <w:rPr>
          <w:color w:val="000000" w:themeColor="text1"/>
          <w:lang w:val="mk-MK"/>
        </w:rPr>
        <w:t>Во врска со ова, Судот потсетува дека, во отсуство на ефикасна кривична истрага, тој ги отфрли тврдењата за неприфатливост кога тужените држави предложија граѓански правни лекови како замена за исцрпување на домашните правни лекови (види, на пример</w:t>
      </w:r>
      <w:r w:rsidRPr="00996776">
        <w:rPr>
          <w:rFonts w:cstheme="minorHAnsi"/>
          <w:color w:val="000000" w:themeColor="text1"/>
          <w:lang w:val="mk-MK"/>
        </w:rPr>
        <w:t>,</w:t>
      </w:r>
      <w:bookmarkStart w:id="40" w:name="_cl40755"/>
      <w:r w:rsidRPr="00996776">
        <w:rPr>
          <w:rFonts w:cstheme="minorHAnsi"/>
          <w:color w:val="000000" w:themeColor="text1"/>
          <w:lang w:val="mk-MK"/>
        </w:rPr>
        <w:t xml:space="preserve"> </w:t>
      </w:r>
      <w:r w:rsidRPr="00996776">
        <w:rPr>
          <w:rFonts w:cstheme="minorHAnsi"/>
          <w:i/>
          <w:iCs/>
          <w:color w:val="000000" w:themeColor="text1"/>
          <w:lang w:val="mk-MK"/>
        </w:rPr>
        <w:t>R.B. v. Estonia</w:t>
      </w:r>
      <w:bookmarkEnd w:id="40"/>
      <w:r w:rsidRPr="00996776">
        <w:rPr>
          <w:rFonts w:cstheme="minorHAnsi"/>
          <w:color w:val="000000" w:themeColor="text1"/>
          <w:lang w:val="mk-MK"/>
        </w:rPr>
        <w:t xml:space="preserve">, </w:t>
      </w:r>
      <w:r w:rsidR="00F81958">
        <w:rPr>
          <w:rFonts w:cstheme="minorHAnsi"/>
          <w:color w:val="000000" w:themeColor="text1"/>
          <w:lang w:val="mk-MK"/>
        </w:rPr>
        <w:t>бр</w:t>
      </w:r>
      <w:r w:rsidRPr="00996776">
        <w:rPr>
          <w:rFonts w:cstheme="minorHAnsi"/>
          <w:color w:val="000000" w:themeColor="text1"/>
          <w:lang w:val="mk-MK"/>
        </w:rPr>
        <w:t>. 22597/16, § 65, 22</w:t>
      </w:r>
      <w:r w:rsidR="00A75EA0" w:rsidRPr="00996776">
        <w:rPr>
          <w:rFonts w:cstheme="minorHAnsi"/>
          <w:color w:val="000000" w:themeColor="text1"/>
          <w:lang w:val="mk-MK"/>
        </w:rPr>
        <w:t> </w:t>
      </w:r>
      <w:r w:rsidR="00F81958">
        <w:rPr>
          <w:rFonts w:cstheme="minorHAnsi"/>
          <w:color w:val="000000" w:themeColor="text1"/>
          <w:lang w:val="mk-MK"/>
        </w:rPr>
        <w:t>јуни</w:t>
      </w:r>
      <w:r w:rsidRPr="00996776">
        <w:rPr>
          <w:rFonts w:cstheme="minorHAnsi"/>
          <w:color w:val="000000" w:themeColor="text1"/>
          <w:lang w:val="mk-MK"/>
        </w:rPr>
        <w:t xml:space="preserve"> 2021</w:t>
      </w:r>
      <w:r w:rsidR="00F81958">
        <w:rPr>
          <w:rFonts w:cstheme="minorHAnsi"/>
          <w:color w:val="000000" w:themeColor="text1"/>
          <w:lang w:val="mk-MK"/>
        </w:rPr>
        <w:t xml:space="preserve"> година</w:t>
      </w:r>
      <w:r w:rsidRPr="00996776">
        <w:rPr>
          <w:rFonts w:cstheme="minorHAnsi"/>
          <w:color w:val="000000" w:themeColor="text1"/>
          <w:lang w:val="mk-MK"/>
        </w:rPr>
        <w:t xml:space="preserve">, </w:t>
      </w:r>
      <w:r w:rsidR="00F81958" w:rsidRPr="00F81958">
        <w:rPr>
          <w:rFonts w:cstheme="minorHAnsi"/>
          <w:color w:val="000000" w:themeColor="text1"/>
          <w:lang w:val="mk-MK"/>
        </w:rPr>
        <w:t>со дополнителни референци;</w:t>
      </w:r>
      <w:r w:rsidR="00F81958">
        <w:rPr>
          <w:rFonts w:cstheme="minorHAnsi"/>
          <w:color w:val="000000" w:themeColor="text1"/>
          <w:lang w:val="mk-MK"/>
        </w:rPr>
        <w:t xml:space="preserve"> </w:t>
      </w:r>
      <w:r w:rsidRPr="00996776">
        <w:rPr>
          <w:i/>
          <w:iCs/>
          <w:color w:val="000000" w:themeColor="text1"/>
          <w:lang w:val="mk-MK"/>
        </w:rPr>
        <w:t>A and B v. Croatia</w:t>
      </w:r>
      <w:r w:rsidRPr="00996776">
        <w:rPr>
          <w:color w:val="000000" w:themeColor="text1"/>
          <w:lang w:val="mk-MK"/>
        </w:rPr>
        <w:t xml:space="preserve">, </w:t>
      </w:r>
      <w:r w:rsidR="00F81958" w:rsidRPr="00F81958">
        <w:rPr>
          <w:color w:val="000000" w:themeColor="text1"/>
          <w:lang w:val="mk-MK"/>
        </w:rPr>
        <w:t>цитиран</w:t>
      </w:r>
      <w:r w:rsidR="00F81958">
        <w:rPr>
          <w:color w:val="000000" w:themeColor="text1"/>
          <w:lang w:val="mk-MK"/>
        </w:rPr>
        <w:t>а</w:t>
      </w:r>
      <w:r w:rsidR="00F81958" w:rsidRPr="00F81958">
        <w:rPr>
          <w:color w:val="000000" w:themeColor="text1"/>
          <w:lang w:val="mk-MK"/>
        </w:rPr>
        <w:t xml:space="preserve"> погоре</w:t>
      </w:r>
      <w:r w:rsidRPr="00996776">
        <w:rPr>
          <w:color w:val="000000" w:themeColor="text1"/>
          <w:lang w:val="mk-MK"/>
        </w:rPr>
        <w:t xml:space="preserve">, § 92, </w:t>
      </w:r>
      <w:r w:rsidR="00F81958">
        <w:rPr>
          <w:color w:val="000000" w:themeColor="text1"/>
          <w:lang w:val="mk-MK"/>
        </w:rPr>
        <w:t>и</w:t>
      </w:r>
      <w:r w:rsidRPr="00996776">
        <w:rPr>
          <w:color w:val="000000" w:themeColor="text1"/>
          <w:lang w:val="mk-MK"/>
        </w:rPr>
        <w:t xml:space="preserve"> </w:t>
      </w:r>
      <w:r w:rsidRPr="00996776">
        <w:rPr>
          <w:i/>
          <w:iCs/>
          <w:color w:val="000000" w:themeColor="text1"/>
          <w:lang w:val="mk-MK"/>
        </w:rPr>
        <w:t>H. v. Iceland</w:t>
      </w:r>
      <w:r w:rsidRPr="00996776">
        <w:rPr>
          <w:color w:val="000000" w:themeColor="text1"/>
          <w:lang w:val="mk-MK"/>
        </w:rPr>
        <w:t xml:space="preserve"> (dec.), </w:t>
      </w:r>
      <w:r w:rsidR="00F81958">
        <w:rPr>
          <w:color w:val="000000" w:themeColor="text1"/>
          <w:lang w:val="mk-MK"/>
        </w:rPr>
        <w:t>бр</w:t>
      </w:r>
      <w:r w:rsidRPr="00996776">
        <w:rPr>
          <w:color w:val="000000" w:themeColor="text1"/>
          <w:lang w:val="mk-MK"/>
        </w:rPr>
        <w:t xml:space="preserve">. 29785/07, 27 </w:t>
      </w:r>
      <w:r w:rsidR="00F81958">
        <w:rPr>
          <w:color w:val="000000" w:themeColor="text1"/>
          <w:lang w:val="mk-MK"/>
        </w:rPr>
        <w:t>септември</w:t>
      </w:r>
      <w:r w:rsidRPr="00996776">
        <w:rPr>
          <w:color w:val="000000" w:themeColor="text1"/>
          <w:lang w:val="mk-MK"/>
        </w:rPr>
        <w:t xml:space="preserve"> 2011</w:t>
      </w:r>
      <w:r w:rsidR="00F81958">
        <w:rPr>
          <w:color w:val="000000" w:themeColor="text1"/>
          <w:lang w:val="mk-MK"/>
        </w:rPr>
        <w:t xml:space="preserve"> година</w:t>
      </w:r>
      <w:r w:rsidRPr="00996776">
        <w:rPr>
          <w:rFonts w:cstheme="minorHAnsi"/>
          <w:color w:val="000000" w:themeColor="text1"/>
          <w:lang w:val="mk-MK"/>
        </w:rPr>
        <w:t>).</w:t>
      </w:r>
    </w:p>
    <w:p w14:paraId="2838DBDB" w14:textId="65C304C2" w:rsidR="00795EF7" w:rsidRPr="00996776" w:rsidRDefault="00000000" w:rsidP="00A21C42">
      <w:pPr>
        <w:pStyle w:val="JuPara"/>
        <w:rPr>
          <w:rFonts w:cstheme="minorHAnsi"/>
          <w:color w:val="000000" w:themeColor="text1"/>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r w:rsidR="00A21C42" w:rsidRPr="00996776">
        <w:rPr>
          <w:rFonts w:cstheme="minorHAnsi"/>
          <w:noProof/>
          <w:lang w:val="mk-MK"/>
        </w:rPr>
        <w:t>53</w:t>
      </w:r>
      <w:r w:rsidRPr="00996776">
        <w:rPr>
          <w:rFonts w:cstheme="minorHAnsi"/>
          <w:lang w:val="mk-MK"/>
        </w:rPr>
        <w:fldChar w:fldCharType="end"/>
      </w:r>
      <w:r w:rsidRPr="00996776">
        <w:rPr>
          <w:rFonts w:cstheme="minorHAnsi"/>
          <w:lang w:val="mk-MK"/>
        </w:rPr>
        <w:t>.  </w:t>
      </w:r>
      <w:bookmarkStart w:id="41" w:name="_cl36098THELAW"/>
      <w:r w:rsidR="00F81958" w:rsidRPr="00F81958">
        <w:rPr>
          <w:rFonts w:cstheme="minorHAnsi"/>
          <w:lang w:val="mk-MK"/>
        </w:rPr>
        <w:t>Судот забележува дека веднаш по инцидентот апликант</w:t>
      </w:r>
      <w:r w:rsidR="00F81958">
        <w:rPr>
          <w:rFonts w:cstheme="minorHAnsi"/>
          <w:lang w:val="mk-MK"/>
        </w:rPr>
        <w:t>ката</w:t>
      </w:r>
      <w:r w:rsidR="00F81958" w:rsidRPr="00F81958">
        <w:rPr>
          <w:rFonts w:cstheme="minorHAnsi"/>
          <w:lang w:val="mk-MK"/>
        </w:rPr>
        <w:t xml:space="preserve"> покренал</w:t>
      </w:r>
      <w:r w:rsidR="00F81958">
        <w:rPr>
          <w:rFonts w:cstheme="minorHAnsi"/>
          <w:lang w:val="mk-MK"/>
        </w:rPr>
        <w:t>а</w:t>
      </w:r>
      <w:r w:rsidR="00F81958" w:rsidRPr="00F81958">
        <w:rPr>
          <w:rFonts w:cstheme="minorHAnsi"/>
          <w:lang w:val="mk-MK"/>
        </w:rPr>
        <w:t xml:space="preserve"> кривична постапка против Ѓ.К., која на крајот била неуспешна. Во овој поглед, од суштинско значење е да се истакнат следните клучни елементи кои дополнително го разликуваат овој случај од оние наведени погоре (види </w:t>
      </w:r>
      <w:r w:rsidR="00902413">
        <w:rPr>
          <w:lang w:val="mk-MK"/>
        </w:rPr>
        <w:t>параграф</w:t>
      </w:r>
      <w:r w:rsidR="00902413" w:rsidRPr="00996776">
        <w:rPr>
          <w:lang w:val="mk-MK"/>
        </w:rPr>
        <w:t xml:space="preserve"> </w:t>
      </w:r>
      <w:r w:rsidR="00F81958" w:rsidRPr="00F81958">
        <w:rPr>
          <w:rFonts w:cstheme="minorHAnsi"/>
          <w:lang w:val="mk-MK"/>
        </w:rPr>
        <w:t>52). При отфрлање на кривичната пријава на апликант</w:t>
      </w:r>
      <w:r w:rsidR="00F81958">
        <w:rPr>
          <w:rFonts w:cstheme="minorHAnsi"/>
          <w:lang w:val="mk-MK"/>
        </w:rPr>
        <w:t>ката</w:t>
      </w:r>
      <w:r w:rsidR="00F81958" w:rsidRPr="00F81958">
        <w:rPr>
          <w:rFonts w:cstheme="minorHAnsi"/>
          <w:lang w:val="mk-MK"/>
        </w:rPr>
        <w:t xml:space="preserve">, обвинителот смета дека елементите на кривично дело предмет на јавно гонење не биле откриени. Сепак, обвинителот го призна присуството на елементи кои го сочинуваат кривичното дело навреда (види </w:t>
      </w:r>
      <w:r w:rsidR="00902413">
        <w:rPr>
          <w:lang w:val="mk-MK"/>
        </w:rPr>
        <w:t>параграф</w:t>
      </w:r>
      <w:r w:rsidR="00902413" w:rsidRPr="00996776">
        <w:rPr>
          <w:lang w:val="mk-MK"/>
        </w:rPr>
        <w:t xml:space="preserve"> </w:t>
      </w:r>
      <w:r w:rsidR="00F81958" w:rsidRPr="00F81958">
        <w:rPr>
          <w:rFonts w:cstheme="minorHAnsi"/>
          <w:lang w:val="mk-MK"/>
        </w:rPr>
        <w:t>9 погоре). Меѓутоа, речиси една година пред одлуката на обвинителот во случајот на апликант</w:t>
      </w:r>
      <w:r w:rsidR="00F81958">
        <w:rPr>
          <w:rFonts w:cstheme="minorHAnsi"/>
          <w:lang w:val="mk-MK"/>
        </w:rPr>
        <w:t>ката</w:t>
      </w:r>
      <w:r w:rsidR="00F81958" w:rsidRPr="00F81958">
        <w:rPr>
          <w:rFonts w:cstheme="minorHAnsi"/>
          <w:lang w:val="mk-MK"/>
        </w:rPr>
        <w:t xml:space="preserve"> (ibid.), тоа дело беше декриминализирано, што го оневозможи гонењето по таа основа и беше воведена граѓанска одговорност за навреда (види </w:t>
      </w:r>
      <w:r w:rsidR="00902413">
        <w:rPr>
          <w:lang w:val="mk-MK"/>
        </w:rPr>
        <w:t>параграф</w:t>
      </w:r>
      <w:r w:rsidR="00902413">
        <w:rPr>
          <w:lang w:val="mk-MK"/>
        </w:rPr>
        <w:t>и</w:t>
      </w:r>
      <w:r w:rsidR="00902413" w:rsidRPr="00996776">
        <w:rPr>
          <w:lang w:val="mk-MK"/>
        </w:rPr>
        <w:t xml:space="preserve"> </w:t>
      </w:r>
      <w:r w:rsidR="00F81958" w:rsidRPr="00F81958">
        <w:rPr>
          <w:rFonts w:cstheme="minorHAnsi"/>
          <w:lang w:val="mk-MK"/>
        </w:rPr>
        <w:t>19 и 23 погоре). Апликант</w:t>
      </w:r>
      <w:r w:rsidR="00F81958">
        <w:rPr>
          <w:rFonts w:cstheme="minorHAnsi"/>
          <w:lang w:val="mk-MK"/>
        </w:rPr>
        <w:t>ката</w:t>
      </w:r>
      <w:r w:rsidR="00F81958" w:rsidRPr="00F81958">
        <w:rPr>
          <w:rFonts w:cstheme="minorHAnsi"/>
          <w:lang w:val="mk-MK"/>
        </w:rPr>
        <w:t>, застапуван</w:t>
      </w:r>
      <w:r w:rsidR="00F81958">
        <w:rPr>
          <w:rFonts w:cstheme="minorHAnsi"/>
          <w:lang w:val="mk-MK"/>
        </w:rPr>
        <w:t>а</w:t>
      </w:r>
      <w:r w:rsidR="00F81958" w:rsidRPr="00F81958">
        <w:rPr>
          <w:rFonts w:cstheme="minorHAnsi"/>
          <w:lang w:val="mk-MK"/>
        </w:rPr>
        <w:t xml:space="preserve"> од адвокат, поради тоа прибегнал</w:t>
      </w:r>
      <w:r w:rsidR="00F81958">
        <w:rPr>
          <w:rFonts w:cstheme="minorHAnsi"/>
          <w:lang w:val="mk-MK"/>
        </w:rPr>
        <w:t>а</w:t>
      </w:r>
      <w:r w:rsidR="00F81958" w:rsidRPr="00F81958">
        <w:rPr>
          <w:rFonts w:cstheme="minorHAnsi"/>
          <w:lang w:val="mk-MK"/>
        </w:rPr>
        <w:t xml:space="preserve"> кон покренување граѓанска постапка, што било единствениот можен судски форум за утврдување на фактите за утврдување каква било одговорност од страна </w:t>
      </w:r>
      <w:r w:rsidR="00F81958" w:rsidRPr="00F81958">
        <w:rPr>
          <w:rFonts w:cstheme="minorHAnsi"/>
          <w:lang w:val="mk-MK"/>
        </w:rPr>
        <w:lastRenderedPageBreak/>
        <w:t>на Ѓ.К. за наводната злоупотреба (спореди</w:t>
      </w:r>
      <w:r w:rsidR="00F81958">
        <w:rPr>
          <w:rFonts w:cstheme="minorHAnsi"/>
          <w:lang w:val="mk-MK"/>
        </w:rPr>
        <w:t xml:space="preserve"> </w:t>
      </w:r>
      <w:r w:rsidRPr="00996776">
        <w:rPr>
          <w:rFonts w:cstheme="minorHAnsi"/>
          <w:i/>
          <w:iCs/>
          <w:color w:val="000000" w:themeColor="text1"/>
          <w:lang w:val="mk-MK"/>
        </w:rPr>
        <w:t>Selami and Others v. the former Yugoslav Republic of Macedonia</w:t>
      </w:r>
      <w:bookmarkEnd w:id="41"/>
      <w:r w:rsidRPr="00996776">
        <w:rPr>
          <w:rFonts w:cstheme="minorHAnsi"/>
          <w:color w:val="000000" w:themeColor="text1"/>
          <w:lang w:val="mk-MK"/>
        </w:rPr>
        <w:t xml:space="preserve">, </w:t>
      </w:r>
      <w:r w:rsidR="00F81958">
        <w:rPr>
          <w:rFonts w:cstheme="minorHAnsi"/>
          <w:color w:val="000000" w:themeColor="text1"/>
          <w:lang w:val="mk-MK"/>
        </w:rPr>
        <w:t>бр</w:t>
      </w:r>
      <w:r w:rsidRPr="00996776">
        <w:rPr>
          <w:rFonts w:cstheme="minorHAnsi"/>
          <w:color w:val="000000" w:themeColor="text1"/>
          <w:lang w:val="mk-MK"/>
        </w:rPr>
        <w:t xml:space="preserve">. 78241/13, § 83, 1 </w:t>
      </w:r>
      <w:r w:rsidR="00F81958">
        <w:rPr>
          <w:rFonts w:cstheme="minorHAnsi"/>
          <w:color w:val="000000" w:themeColor="text1"/>
          <w:lang w:val="mk-MK"/>
        </w:rPr>
        <w:t>март</w:t>
      </w:r>
      <w:r w:rsidRPr="00996776">
        <w:rPr>
          <w:rFonts w:cstheme="minorHAnsi"/>
          <w:color w:val="000000" w:themeColor="text1"/>
          <w:lang w:val="mk-MK"/>
        </w:rPr>
        <w:t xml:space="preserve"> 2018</w:t>
      </w:r>
      <w:r w:rsidR="00F81958">
        <w:rPr>
          <w:rFonts w:cstheme="minorHAnsi"/>
          <w:color w:val="000000" w:themeColor="text1"/>
          <w:lang w:val="mk-MK"/>
        </w:rPr>
        <w:t xml:space="preserve"> година</w:t>
      </w:r>
      <w:r w:rsidRPr="00996776">
        <w:rPr>
          <w:rFonts w:cstheme="minorHAnsi"/>
          <w:color w:val="000000" w:themeColor="text1"/>
          <w:lang w:val="mk-MK"/>
        </w:rPr>
        <w:t xml:space="preserve">, </w:t>
      </w:r>
      <w:r w:rsidR="00F81958" w:rsidRPr="00F81958">
        <w:rPr>
          <w:rFonts w:cstheme="minorHAnsi"/>
          <w:color w:val="000000" w:themeColor="text1"/>
          <w:lang w:val="mk-MK"/>
        </w:rPr>
        <w:t>во која Судот го отфрли приговорот за неисцрпување во случај на малтретирање извршен од страна на државните органи каде што апликант</w:t>
      </w:r>
      <w:r w:rsidR="00F81958">
        <w:rPr>
          <w:rFonts w:cstheme="minorHAnsi"/>
          <w:color w:val="000000" w:themeColor="text1"/>
          <w:lang w:val="mk-MK"/>
        </w:rPr>
        <w:t>ката</w:t>
      </w:r>
      <w:r w:rsidR="00F81958" w:rsidRPr="00F81958">
        <w:rPr>
          <w:rFonts w:cstheme="minorHAnsi"/>
          <w:color w:val="000000" w:themeColor="text1"/>
          <w:lang w:val="mk-MK"/>
        </w:rPr>
        <w:t>, без да подне</w:t>
      </w:r>
      <w:r w:rsidR="00F81958">
        <w:rPr>
          <w:rFonts w:cstheme="minorHAnsi"/>
          <w:color w:val="000000" w:themeColor="text1"/>
          <w:lang w:val="mk-MK"/>
        </w:rPr>
        <w:t>се</w:t>
      </w:r>
      <w:r w:rsidR="00F81958" w:rsidRPr="00F81958">
        <w:rPr>
          <w:rFonts w:cstheme="minorHAnsi"/>
          <w:color w:val="000000" w:themeColor="text1"/>
          <w:lang w:val="mk-MK"/>
        </w:rPr>
        <w:t xml:space="preserve"> жалба за кривичната постапка, поднел</w:t>
      </w:r>
      <w:r w:rsidR="00F81958">
        <w:rPr>
          <w:rFonts w:cstheme="minorHAnsi"/>
          <w:color w:val="000000" w:themeColor="text1"/>
          <w:lang w:val="mk-MK"/>
        </w:rPr>
        <w:t>а</w:t>
      </w:r>
      <w:r w:rsidR="00F81958" w:rsidRPr="00F81958">
        <w:rPr>
          <w:rFonts w:cstheme="minorHAnsi"/>
          <w:color w:val="000000" w:themeColor="text1"/>
          <w:lang w:val="mk-MK"/>
        </w:rPr>
        <w:t xml:space="preserve"> жалба за граѓанска постапка против државата). Овие клучни контекстуални елементи го разликуваат овој случај, исто така, од случајот</w:t>
      </w:r>
      <w:r w:rsidR="00F81958">
        <w:rPr>
          <w:rFonts w:cstheme="minorHAnsi"/>
          <w:color w:val="000000" w:themeColor="text1"/>
          <w:lang w:val="mk-MK"/>
        </w:rPr>
        <w:t xml:space="preserve"> </w:t>
      </w:r>
      <w:r w:rsidRPr="00996776">
        <w:rPr>
          <w:i/>
          <w:iCs/>
          <w:color w:val="000000" w:themeColor="text1"/>
          <w:lang w:val="mk-MK"/>
        </w:rPr>
        <w:t>Jørgensen and Others v.</w:t>
      </w:r>
      <w:r w:rsidR="00A75EA0" w:rsidRPr="00996776">
        <w:rPr>
          <w:i/>
          <w:iCs/>
          <w:color w:val="000000" w:themeColor="text1"/>
          <w:lang w:val="mk-MK"/>
        </w:rPr>
        <w:t> </w:t>
      </w:r>
      <w:r w:rsidRPr="00996776">
        <w:rPr>
          <w:i/>
          <w:iCs/>
          <w:color w:val="000000" w:themeColor="text1"/>
          <w:lang w:val="mk-MK"/>
        </w:rPr>
        <w:t>Denmark</w:t>
      </w:r>
      <w:r w:rsidRPr="00996776">
        <w:rPr>
          <w:color w:val="000000" w:themeColor="text1"/>
          <w:lang w:val="mk-MK"/>
        </w:rPr>
        <w:t xml:space="preserve"> ((dec.), </w:t>
      </w:r>
      <w:r w:rsidR="00F81958">
        <w:rPr>
          <w:color w:val="000000" w:themeColor="text1"/>
          <w:lang w:val="mk-MK"/>
        </w:rPr>
        <w:t>бр</w:t>
      </w:r>
      <w:r w:rsidRPr="00996776">
        <w:rPr>
          <w:color w:val="000000" w:themeColor="text1"/>
          <w:lang w:val="mk-MK"/>
        </w:rPr>
        <w:t xml:space="preserve">. 30173/12, §§ 11-13 </w:t>
      </w:r>
      <w:r w:rsidR="00F81958">
        <w:rPr>
          <w:color w:val="000000" w:themeColor="text1"/>
          <w:lang w:val="mk-MK"/>
        </w:rPr>
        <w:t>и</w:t>
      </w:r>
      <w:r w:rsidRPr="00996776">
        <w:rPr>
          <w:color w:val="000000" w:themeColor="text1"/>
          <w:lang w:val="mk-MK"/>
        </w:rPr>
        <w:t xml:space="preserve"> 19, 28 </w:t>
      </w:r>
      <w:r w:rsidR="00F81958">
        <w:rPr>
          <w:color w:val="000000" w:themeColor="text1"/>
          <w:lang w:val="mk-MK"/>
        </w:rPr>
        <w:t>јуни</w:t>
      </w:r>
      <w:r w:rsidRPr="00996776">
        <w:rPr>
          <w:color w:val="000000" w:themeColor="text1"/>
          <w:lang w:val="mk-MK"/>
        </w:rPr>
        <w:t xml:space="preserve"> 2016</w:t>
      </w:r>
      <w:r w:rsidR="00F81958">
        <w:rPr>
          <w:color w:val="000000" w:themeColor="text1"/>
          <w:lang w:val="mk-MK"/>
        </w:rPr>
        <w:t xml:space="preserve"> година</w:t>
      </w:r>
      <w:r w:rsidRPr="00996776">
        <w:rPr>
          <w:color w:val="000000" w:themeColor="text1"/>
          <w:lang w:val="mk-MK"/>
        </w:rPr>
        <w:t xml:space="preserve">, </w:t>
      </w:r>
      <w:r w:rsidR="00F81958" w:rsidRPr="00F81958">
        <w:rPr>
          <w:color w:val="000000" w:themeColor="text1"/>
          <w:lang w:val="mk-MK"/>
        </w:rPr>
        <w:t xml:space="preserve">во врска со истрагата за наводната незаконска употреба на сила од страна на државните агенти за која е потребен кривично-правен одговор), каде што не постоела неможност да се прибегне кон кривично гонење и немало наод или инструкции од јавниот обвинител како онаа во конкретниот случај. Посебните околности на конкретниот случај на тој начин оправдуваат понијансиран пристап, без да се доведува во прашање добро воспоставениот принцип дека ефикасна заштита од </w:t>
      </w:r>
      <w:r w:rsidR="0044064F">
        <w:rPr>
          <w:color w:val="000000" w:themeColor="text1"/>
          <w:lang w:val="mk-MK"/>
        </w:rPr>
        <w:t>полова</w:t>
      </w:r>
      <w:r w:rsidR="00F81958" w:rsidRPr="00F81958">
        <w:rPr>
          <w:color w:val="000000" w:themeColor="text1"/>
          <w:lang w:val="mk-MK"/>
        </w:rPr>
        <w:t xml:space="preserve"> злоупотреба бара мерки од кривично-правна природа (види </w:t>
      </w:r>
      <w:r w:rsidR="00902413">
        <w:rPr>
          <w:lang w:val="mk-MK"/>
        </w:rPr>
        <w:t>параграф</w:t>
      </w:r>
      <w:r w:rsidR="00902413" w:rsidRPr="00996776">
        <w:rPr>
          <w:lang w:val="mk-MK"/>
        </w:rPr>
        <w:t xml:space="preserve"> </w:t>
      </w:r>
      <w:r w:rsidR="00F81958" w:rsidRPr="00F81958">
        <w:rPr>
          <w:color w:val="000000" w:themeColor="text1"/>
          <w:lang w:val="mk-MK"/>
        </w:rPr>
        <w:t xml:space="preserve">52 погоре). Со оглед на експлицитниот наод на обвинителот дека наводното однесување претставувало навреда, што подлежи на граѓанска одговорност во </w:t>
      </w:r>
      <w:r w:rsidR="00BA6582">
        <w:rPr>
          <w:color w:val="000000" w:themeColor="text1"/>
          <w:lang w:val="mk-MK"/>
        </w:rPr>
        <w:t>моментот</w:t>
      </w:r>
      <w:r w:rsidR="00F81958" w:rsidRPr="00F81958">
        <w:rPr>
          <w:color w:val="000000" w:themeColor="text1"/>
          <w:lang w:val="mk-MK"/>
        </w:rPr>
        <w:t xml:space="preserve">, Судот не смета дека прибегнувањето на </w:t>
      </w:r>
      <w:r w:rsidR="00963CFB">
        <w:rPr>
          <w:color w:val="000000" w:themeColor="text1"/>
          <w:lang w:val="mk-MK"/>
        </w:rPr>
        <w:t>Апликантката</w:t>
      </w:r>
      <w:r w:rsidR="00F81958" w:rsidRPr="00F81958">
        <w:rPr>
          <w:color w:val="000000" w:themeColor="text1"/>
          <w:lang w:val="mk-MK"/>
        </w:rPr>
        <w:t xml:space="preserve"> на граѓанска постапка било неразумно (види </w:t>
      </w:r>
      <w:r w:rsidR="00902413">
        <w:rPr>
          <w:lang w:val="mk-MK"/>
        </w:rPr>
        <w:t>параграф</w:t>
      </w:r>
      <w:r w:rsidR="00902413">
        <w:rPr>
          <w:lang w:val="mk-MK"/>
        </w:rPr>
        <w:t>и</w:t>
      </w:r>
      <w:r w:rsidR="00902413" w:rsidRPr="00996776">
        <w:rPr>
          <w:lang w:val="mk-MK"/>
        </w:rPr>
        <w:t xml:space="preserve"> </w:t>
      </w:r>
      <w:r w:rsidR="00F81958" w:rsidRPr="00F81958">
        <w:rPr>
          <w:color w:val="000000" w:themeColor="text1"/>
          <w:lang w:val="mk-MK"/>
        </w:rPr>
        <w:t>10-14 погоре). Правната рамка на тужената држава експлицитно предвидуваше граѓански правен лек како одговор на декриминализираното однесување, кое апликантката, веројатно немајќи други достапни судски средства, се обиде да го исцрпи, со што им обезбеди можност на домашните судови да обезбедат правна заштита и средство за враќање на нејзините поплаки</w:t>
      </w:r>
      <w:r w:rsidRPr="00996776">
        <w:rPr>
          <w:color w:val="000000" w:themeColor="text1"/>
          <w:lang w:val="mk-MK"/>
        </w:rPr>
        <w:t>.</w:t>
      </w:r>
    </w:p>
    <w:p w14:paraId="28572246" w14:textId="71BF5ED6" w:rsidR="00795EF7" w:rsidRPr="00996776" w:rsidRDefault="00000000" w:rsidP="00A21C42">
      <w:pPr>
        <w:pStyle w:val="JuPara"/>
        <w:rPr>
          <w:rFonts w:cstheme="minorHAnsi"/>
          <w:color w:val="000000"/>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r w:rsidR="00A21C42" w:rsidRPr="00996776">
        <w:rPr>
          <w:rFonts w:cstheme="minorHAnsi"/>
          <w:noProof/>
          <w:lang w:val="mk-MK"/>
        </w:rPr>
        <w:t>54</w:t>
      </w:r>
      <w:r w:rsidRPr="00996776">
        <w:rPr>
          <w:rFonts w:cstheme="minorHAnsi"/>
          <w:lang w:val="mk-MK"/>
        </w:rPr>
        <w:fldChar w:fldCharType="end"/>
      </w:r>
      <w:r w:rsidRPr="00996776">
        <w:rPr>
          <w:rFonts w:cstheme="minorHAnsi"/>
          <w:lang w:val="mk-MK"/>
        </w:rPr>
        <w:t>.  </w:t>
      </w:r>
      <w:bookmarkStart w:id="42" w:name="_cl39121THELAW"/>
      <w:r w:rsidR="00963CFB" w:rsidRPr="00963CFB">
        <w:rPr>
          <w:rFonts w:cstheme="minorHAnsi"/>
          <w:lang w:val="mk-MK"/>
        </w:rPr>
        <w:t xml:space="preserve">Судот понатаму забележува дека Владата не дала никакви примери на судска пракса што покажува дека толкувањето на поимот навреда што го применувале граѓанските судови во случајот на </w:t>
      </w:r>
      <w:r w:rsidR="0044064F">
        <w:rPr>
          <w:rFonts w:cstheme="minorHAnsi"/>
          <w:lang w:val="mk-MK"/>
        </w:rPr>
        <w:t>апликантката</w:t>
      </w:r>
      <w:r w:rsidR="00963CFB" w:rsidRPr="00963CFB">
        <w:rPr>
          <w:rFonts w:cstheme="minorHAnsi"/>
          <w:lang w:val="mk-MK"/>
        </w:rPr>
        <w:t xml:space="preserve"> било утврдено многу пред апликантката да го поднесе своето барање за обесштетување, така што граѓанската постапка би ја направила залудна. Напротив, барањето за компензација беше поднесено во рок од една година од влегувањето во сила на</w:t>
      </w:r>
      <w:r w:rsidR="006244FD">
        <w:rPr>
          <w:rFonts w:cstheme="minorHAnsi"/>
          <w:lang w:val="mk-MK"/>
        </w:rPr>
        <w:t xml:space="preserve"> </w:t>
      </w:r>
      <w:r w:rsidR="006244FD" w:rsidRPr="006244FD">
        <w:rPr>
          <w:rFonts w:cstheme="minorHAnsi"/>
          <w:lang w:val="mk-MK"/>
        </w:rPr>
        <w:t>Закон</w:t>
      </w:r>
      <w:r w:rsidR="006244FD">
        <w:rPr>
          <w:rFonts w:cstheme="minorHAnsi"/>
          <w:lang w:val="mk-MK"/>
        </w:rPr>
        <w:t>от</w:t>
      </w:r>
      <w:r w:rsidR="006244FD" w:rsidRPr="006244FD">
        <w:rPr>
          <w:rFonts w:cstheme="minorHAnsi"/>
          <w:lang w:val="mk-MK"/>
        </w:rPr>
        <w:t xml:space="preserve"> за граѓанска одговорност за навреда и клевета </w:t>
      </w:r>
      <w:r w:rsidR="00963CFB" w:rsidRPr="00963CFB">
        <w:rPr>
          <w:rFonts w:cstheme="minorHAnsi"/>
          <w:lang w:val="mk-MK"/>
        </w:rPr>
        <w:t>кога релевантната домашна судска пракса веројатно сè уште се развиваше. Во врска со ова, Судот повторува дека постоењето на обични сомнежи во врска со изгледите за успех на одреден правен лек кој очигледно не е залуден не е валидна причина за неисцрпување на тој начин на обесштетување (види</w:t>
      </w:r>
      <w:r w:rsidR="00963CFB">
        <w:rPr>
          <w:rFonts w:cstheme="minorHAnsi"/>
          <w:lang w:val="mk-MK"/>
        </w:rPr>
        <w:t xml:space="preserve"> </w:t>
      </w:r>
      <w:r w:rsidRPr="00996776">
        <w:rPr>
          <w:rFonts w:cstheme="minorHAnsi"/>
          <w:i/>
          <w:iCs/>
          <w:color w:val="000000"/>
          <w:lang w:val="mk-MK"/>
        </w:rPr>
        <w:t>Vučković and Others</w:t>
      </w:r>
      <w:bookmarkEnd w:id="42"/>
      <w:r w:rsidRPr="00996776">
        <w:rPr>
          <w:rFonts w:cstheme="minorHAnsi"/>
          <w:color w:val="000000"/>
          <w:lang w:val="mk-MK"/>
        </w:rPr>
        <w:t xml:space="preserve">, </w:t>
      </w:r>
      <w:r w:rsidR="00963CFB" w:rsidRPr="00963CFB">
        <w:rPr>
          <w:rFonts w:cstheme="minorHAnsi"/>
          <w:color w:val="000000"/>
          <w:lang w:val="mk-MK"/>
        </w:rPr>
        <w:t>цитиран погоре, § 74). Фундаментална карактеристика на механизмот за заштита воспоставен со Конвенцијата е тоа што тој е супсидијарен на националните системи што ги штитат човековите права (ibid., § 69).</w:t>
      </w:r>
    </w:p>
    <w:p w14:paraId="31CA965F" w14:textId="5DB769DD" w:rsidR="00795EF7" w:rsidRPr="00996776" w:rsidRDefault="00000000" w:rsidP="00A21C42">
      <w:pPr>
        <w:pStyle w:val="JuPara"/>
        <w:rPr>
          <w:rFonts w:cstheme="minorHAnsi"/>
          <w:color w:val="000000"/>
          <w:lang w:val="mk-MK"/>
        </w:rPr>
      </w:pPr>
      <w:r w:rsidRPr="00996776">
        <w:rPr>
          <w:rStyle w:val="JuParaChar"/>
          <w:lang w:val="mk-MK"/>
        </w:rPr>
        <w:lastRenderedPageBreak/>
        <w:fldChar w:fldCharType="begin"/>
      </w:r>
      <w:r w:rsidRPr="00996776">
        <w:rPr>
          <w:rStyle w:val="JuParaChar"/>
          <w:lang w:val="mk-MK"/>
        </w:rPr>
        <w:instrText xml:space="preserve"> SEQ level0 \*arabic \* MERGEFORMAT </w:instrText>
      </w:r>
      <w:r w:rsidRPr="00996776">
        <w:rPr>
          <w:rStyle w:val="JuParaChar"/>
          <w:lang w:val="mk-MK"/>
        </w:rPr>
        <w:fldChar w:fldCharType="separate"/>
      </w:r>
      <w:r w:rsidR="00A21C42" w:rsidRPr="00996776">
        <w:rPr>
          <w:rStyle w:val="JuParaChar"/>
          <w:noProof/>
          <w:lang w:val="mk-MK"/>
        </w:rPr>
        <w:t>55</w:t>
      </w:r>
      <w:r w:rsidRPr="00996776">
        <w:rPr>
          <w:rStyle w:val="JuParaChar"/>
          <w:lang w:val="mk-MK"/>
        </w:rPr>
        <w:fldChar w:fldCharType="end"/>
      </w:r>
      <w:r w:rsidRPr="00996776">
        <w:rPr>
          <w:rStyle w:val="JuParaChar"/>
          <w:lang w:val="mk-MK"/>
        </w:rPr>
        <w:t>.  </w:t>
      </w:r>
      <w:r w:rsidR="00963CFB" w:rsidRPr="00963CFB">
        <w:rPr>
          <w:rStyle w:val="JuParaChar"/>
          <w:lang w:val="mk-MK"/>
        </w:rPr>
        <w:t xml:space="preserve">Со оглед на горенаведеното, и имајќи ја предвид природата на жалбите на </w:t>
      </w:r>
      <w:r w:rsidR="0044064F">
        <w:rPr>
          <w:rStyle w:val="JuParaChar"/>
          <w:lang w:val="mk-MK"/>
        </w:rPr>
        <w:t>апликантката</w:t>
      </w:r>
      <w:r w:rsidR="00963CFB" w:rsidRPr="00963CFB">
        <w:rPr>
          <w:rStyle w:val="JuParaChar"/>
          <w:lang w:val="mk-MK"/>
        </w:rPr>
        <w:t xml:space="preserve"> пред него, Судот не може, во конкретните околности на овој случај, да го обвини </w:t>
      </w:r>
      <w:r w:rsidR="0044064F">
        <w:rPr>
          <w:rStyle w:val="JuParaChar"/>
          <w:lang w:val="mk-MK"/>
        </w:rPr>
        <w:t>апликантката</w:t>
      </w:r>
      <w:r w:rsidR="00963CFB" w:rsidRPr="00963CFB">
        <w:rPr>
          <w:rStyle w:val="JuParaChar"/>
          <w:lang w:val="mk-MK"/>
        </w:rPr>
        <w:t xml:space="preserve"> дека ја продолжил граѓанската постапка против Ѓ. К. (види, </w:t>
      </w:r>
      <w:r w:rsidR="00963CFB" w:rsidRPr="00963CFB">
        <w:rPr>
          <w:rStyle w:val="JuParaChar"/>
          <w:i/>
          <w:iCs/>
          <w:lang w:val="mk-MK"/>
        </w:rPr>
        <w:t>mutatis mutandis</w:t>
      </w:r>
      <w:r w:rsidR="00963CFB" w:rsidRPr="00963CFB">
        <w:rPr>
          <w:rStyle w:val="JuParaChar"/>
          <w:lang w:val="mk-MK"/>
        </w:rPr>
        <w:t xml:space="preserve">, </w:t>
      </w:r>
      <w:r w:rsidR="00963CFB" w:rsidRPr="00963CFB">
        <w:rPr>
          <w:rStyle w:val="JuParaChar"/>
          <w:i/>
          <w:iCs/>
          <w:lang w:val="mk-MK"/>
        </w:rPr>
        <w:t>A.P. v. Armenia</w:t>
      </w:r>
      <w:r w:rsidR="00963CFB">
        <w:rPr>
          <w:rStyle w:val="JuParaChar"/>
          <w:lang w:val="mk-MK"/>
        </w:rPr>
        <w:t xml:space="preserve">, </w:t>
      </w:r>
      <w:r w:rsidR="00963CFB" w:rsidRPr="00963CFB">
        <w:rPr>
          <w:rStyle w:val="JuParaChar"/>
          <w:lang w:val="mk-MK"/>
        </w:rPr>
        <w:t>бр. 58737/14, § 98, 18 јуни 2024 година). Прашањето дали тој правен лек, како што го примениле судовите во нејзиниот конкретен случај, всушност ѝ обезбедил заштита е посебно прашање што ќе биде разгледано во оценката на Судот за основаноста на случајот</w:t>
      </w:r>
      <w:r w:rsidRPr="00996776">
        <w:rPr>
          <w:rFonts w:cstheme="minorHAnsi"/>
          <w:color w:val="000000"/>
          <w:lang w:val="mk-MK"/>
        </w:rPr>
        <w:t>.</w:t>
      </w:r>
    </w:p>
    <w:p w14:paraId="43F7842B" w14:textId="11EEB837" w:rsidR="00795EF7" w:rsidRPr="00996776" w:rsidRDefault="00000000" w:rsidP="00A21C42">
      <w:pPr>
        <w:pStyle w:val="JuPara"/>
        <w:rPr>
          <w:rFonts w:cstheme="minorHAnsi"/>
          <w:color w:val="000000"/>
          <w:lang w:val="mk-MK"/>
        </w:rPr>
      </w:pPr>
      <w:r w:rsidRPr="00996776">
        <w:rPr>
          <w:rFonts w:cstheme="minorHAnsi"/>
          <w:color w:val="000000"/>
          <w:lang w:val="mk-MK"/>
        </w:rPr>
        <w:fldChar w:fldCharType="begin"/>
      </w:r>
      <w:r w:rsidRPr="00996776">
        <w:rPr>
          <w:rFonts w:cstheme="minorHAnsi"/>
          <w:color w:val="000000"/>
          <w:lang w:val="mk-MK"/>
        </w:rPr>
        <w:instrText xml:space="preserve"> SEQ level0 \*arabic \* MERGEFORMAT </w:instrText>
      </w:r>
      <w:r w:rsidRPr="00996776">
        <w:rPr>
          <w:rFonts w:cstheme="minorHAnsi"/>
          <w:color w:val="000000"/>
          <w:lang w:val="mk-MK"/>
        </w:rPr>
        <w:fldChar w:fldCharType="separate"/>
      </w:r>
      <w:r w:rsidR="00A21C42" w:rsidRPr="00996776">
        <w:rPr>
          <w:rFonts w:cstheme="minorHAnsi"/>
          <w:noProof/>
          <w:color w:val="000000"/>
          <w:lang w:val="mk-MK"/>
        </w:rPr>
        <w:t>56</w:t>
      </w:r>
      <w:r w:rsidRPr="00996776">
        <w:rPr>
          <w:rFonts w:cstheme="minorHAnsi"/>
          <w:color w:val="000000"/>
          <w:lang w:val="mk-MK"/>
        </w:rPr>
        <w:fldChar w:fldCharType="end"/>
      </w:r>
      <w:r w:rsidRPr="00996776">
        <w:rPr>
          <w:rFonts w:cstheme="minorHAnsi"/>
          <w:color w:val="000000"/>
          <w:lang w:val="mk-MK"/>
        </w:rPr>
        <w:t>.  </w:t>
      </w:r>
      <w:r w:rsidR="00963CFB" w:rsidRPr="00963CFB">
        <w:rPr>
          <w:rFonts w:cstheme="minorHAnsi"/>
          <w:color w:val="000000"/>
          <w:lang w:val="mk-MK"/>
        </w:rPr>
        <w:t xml:space="preserve">Според тоа, Судот прифаќа дека, во случајот на апликантката, рокот од шест месеци почнал да тече од моментот кога ѝ била доставена конечната одлука во граѓанската постапка што ја покренала (на 8 април 2016 година - види </w:t>
      </w:r>
      <w:r w:rsidR="00902413">
        <w:rPr>
          <w:lang w:val="mk-MK"/>
        </w:rPr>
        <w:t>параграф</w:t>
      </w:r>
      <w:r w:rsidR="00902413" w:rsidRPr="00996776">
        <w:rPr>
          <w:lang w:val="mk-MK"/>
        </w:rPr>
        <w:t xml:space="preserve"> </w:t>
      </w:r>
      <w:r w:rsidR="00963CFB" w:rsidRPr="00963CFB">
        <w:rPr>
          <w:rFonts w:cstheme="minorHAnsi"/>
          <w:color w:val="000000"/>
          <w:lang w:val="mk-MK"/>
        </w:rPr>
        <w:t>14 погоре). Таа го поднела своето барање на 7 октомври 2016 година, односно почитувајќи го правилото за шест месеци</w:t>
      </w:r>
      <w:r w:rsidRPr="00996776">
        <w:rPr>
          <w:rFonts w:cstheme="minorHAnsi"/>
          <w:color w:val="000000"/>
          <w:lang w:val="mk-MK"/>
        </w:rPr>
        <w:t>.</w:t>
      </w:r>
    </w:p>
    <w:p w14:paraId="09962E4E" w14:textId="26D2DE43"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57</w:t>
      </w:r>
      <w:r w:rsidRPr="00996776">
        <w:rPr>
          <w:noProof/>
          <w:lang w:val="mk-MK"/>
        </w:rPr>
        <w:fldChar w:fldCharType="end"/>
      </w:r>
      <w:r w:rsidRPr="00996776">
        <w:rPr>
          <w:lang w:val="mk-MK"/>
        </w:rPr>
        <w:t>.  </w:t>
      </w:r>
      <w:r w:rsidR="00963CFB" w:rsidRPr="00963CFB">
        <w:rPr>
          <w:lang w:val="mk-MK"/>
        </w:rPr>
        <w:t xml:space="preserve">Судот потоа се осврнува на приговорот на Владата дека апликантката во нејзината </w:t>
      </w:r>
      <w:r w:rsidR="00BA6582">
        <w:rPr>
          <w:lang w:val="mk-MK"/>
        </w:rPr>
        <w:t>апликација</w:t>
      </w:r>
      <w:r w:rsidR="00963CFB" w:rsidRPr="00963CFB">
        <w:rPr>
          <w:lang w:val="mk-MK"/>
        </w:rPr>
        <w:t xml:space="preserve"> </w:t>
      </w:r>
      <w:r w:rsidR="00BA6582" w:rsidRPr="00BA6582">
        <w:rPr>
          <w:lang w:val="mk-MK"/>
        </w:rPr>
        <w:t xml:space="preserve">не поднела </w:t>
      </w:r>
      <w:r w:rsidR="00963CFB" w:rsidRPr="00963CFB">
        <w:rPr>
          <w:lang w:val="mk-MK"/>
        </w:rPr>
        <w:t>жалба</w:t>
      </w:r>
      <w:r w:rsidR="00BA6582">
        <w:rPr>
          <w:lang w:val="mk-MK"/>
        </w:rPr>
        <w:t>,</w:t>
      </w:r>
      <w:r w:rsidR="00963CFB" w:rsidRPr="00963CFB">
        <w:rPr>
          <w:lang w:val="mk-MK"/>
        </w:rPr>
        <w:t xml:space="preserve"> дека постоела правна празнина во домашното кривично-правно законодавство (види </w:t>
      </w:r>
      <w:r w:rsidR="00902413">
        <w:rPr>
          <w:lang w:val="mk-MK"/>
        </w:rPr>
        <w:t>параграф</w:t>
      </w:r>
      <w:r w:rsidR="00902413" w:rsidRPr="00996776">
        <w:rPr>
          <w:lang w:val="mk-MK"/>
        </w:rPr>
        <w:t xml:space="preserve"> </w:t>
      </w:r>
      <w:r w:rsidR="00963CFB" w:rsidRPr="00963CFB">
        <w:rPr>
          <w:lang w:val="mk-MK"/>
        </w:rPr>
        <w:t xml:space="preserve">47 погоре). Претпоставувајќи дека тој приговор се однесува на рокот од шест месеци, Судот забележува дека во својата пријава </w:t>
      </w:r>
      <w:r w:rsidR="006050DD">
        <w:rPr>
          <w:lang w:val="mk-MK"/>
        </w:rPr>
        <w:t>апликантката</w:t>
      </w:r>
      <w:r w:rsidR="00963CFB" w:rsidRPr="00963CFB">
        <w:rPr>
          <w:lang w:val="mk-MK"/>
        </w:rPr>
        <w:t xml:space="preserve"> се осврнала и на кривичната и на граѓанската постапка што ја покренала по наводниот инцидент. Таа се пожали дека, по исходот од граѓанската постапка, останала без никаква правна заштита (види </w:t>
      </w:r>
      <w:r w:rsidR="00902413">
        <w:rPr>
          <w:lang w:val="mk-MK"/>
        </w:rPr>
        <w:t>параграф</w:t>
      </w:r>
      <w:r w:rsidR="00902413" w:rsidRPr="00996776">
        <w:rPr>
          <w:lang w:val="mk-MK"/>
        </w:rPr>
        <w:t xml:space="preserve"> </w:t>
      </w:r>
      <w:r w:rsidR="00963CFB" w:rsidRPr="00963CFB">
        <w:rPr>
          <w:lang w:val="mk-MK"/>
        </w:rPr>
        <w:t xml:space="preserve">44 погоре). Судот смета дека аргументот на </w:t>
      </w:r>
      <w:r w:rsidR="0044064F">
        <w:rPr>
          <w:lang w:val="mk-MK"/>
        </w:rPr>
        <w:t>апликантката</w:t>
      </w:r>
      <w:r w:rsidR="00963CFB" w:rsidRPr="00963CFB">
        <w:rPr>
          <w:lang w:val="mk-MK"/>
        </w:rPr>
        <w:t xml:space="preserve"> дека постоела правна празнина во казнено-правниот систем не е нова жалба, туку само елаборација на жалбата во врска со наводниот недостаток на правна заштита што ја дава домашниот правен систем против </w:t>
      </w:r>
      <w:r w:rsidR="0044064F">
        <w:rPr>
          <w:lang w:val="mk-MK"/>
        </w:rPr>
        <w:t>дејствија</w:t>
      </w:r>
      <w:r w:rsidR="00963CFB" w:rsidRPr="00963CFB">
        <w:rPr>
          <w:lang w:val="mk-MK"/>
        </w:rPr>
        <w:t>та на Ѓ.К. Затоа, го отфрла приговорот на Владата</w:t>
      </w:r>
      <w:r w:rsidRPr="00996776">
        <w:rPr>
          <w:lang w:val="mk-MK"/>
        </w:rPr>
        <w:t>.</w:t>
      </w:r>
    </w:p>
    <w:p w14:paraId="617B2127" w14:textId="1F54AAB1" w:rsidR="00795EF7" w:rsidRPr="00996776" w:rsidRDefault="00000000" w:rsidP="00A21C42">
      <w:pPr>
        <w:pStyle w:val="JuPara"/>
        <w:rPr>
          <w:rStyle w:val="JuParaChar"/>
          <w:rFonts w:ascii="Arial" w:hAnsi="Arial" w:cs="Arial"/>
          <w:color w:val="000000"/>
          <w:lang w:val="mk-MK"/>
        </w:rPr>
      </w:pPr>
      <w:r w:rsidRPr="00996776">
        <w:rPr>
          <w:rStyle w:val="JuParaChar"/>
          <w:lang w:val="mk-MK"/>
        </w:rPr>
        <w:fldChar w:fldCharType="begin"/>
      </w:r>
      <w:r w:rsidRPr="00996776">
        <w:rPr>
          <w:rStyle w:val="JuParaChar"/>
          <w:lang w:val="mk-MK"/>
        </w:rPr>
        <w:instrText xml:space="preserve"> SEQ level0 \*arabic \* MERGEFORMAT </w:instrText>
      </w:r>
      <w:r w:rsidRPr="00996776">
        <w:rPr>
          <w:rStyle w:val="JuParaChar"/>
          <w:lang w:val="mk-MK"/>
        </w:rPr>
        <w:fldChar w:fldCharType="separate"/>
      </w:r>
      <w:r w:rsidR="00A21C42" w:rsidRPr="00996776">
        <w:rPr>
          <w:rStyle w:val="JuParaChar"/>
          <w:noProof/>
          <w:lang w:val="mk-MK"/>
        </w:rPr>
        <w:t>58</w:t>
      </w:r>
      <w:r w:rsidRPr="00996776">
        <w:rPr>
          <w:rStyle w:val="JuParaChar"/>
          <w:lang w:val="mk-MK"/>
        </w:rPr>
        <w:fldChar w:fldCharType="end"/>
      </w:r>
      <w:r w:rsidRPr="00996776">
        <w:rPr>
          <w:rStyle w:val="JuParaChar"/>
          <w:lang w:val="mk-MK"/>
        </w:rPr>
        <w:t>.  </w:t>
      </w:r>
      <w:r w:rsidR="00963CFB" w:rsidRPr="00963CFB">
        <w:rPr>
          <w:rStyle w:val="JuParaChar"/>
          <w:lang w:val="mk-MK"/>
        </w:rPr>
        <w:t xml:space="preserve">Осврнувајќи се на приговорите на Владата за неисцрпување на домашните правни лекови (види </w:t>
      </w:r>
      <w:r w:rsidR="00902413">
        <w:rPr>
          <w:lang w:val="mk-MK"/>
        </w:rPr>
        <w:t>параграф</w:t>
      </w:r>
      <w:r w:rsidR="00902413" w:rsidRPr="00996776">
        <w:rPr>
          <w:lang w:val="mk-MK"/>
        </w:rPr>
        <w:t xml:space="preserve"> </w:t>
      </w:r>
      <w:r w:rsidR="00963CFB" w:rsidRPr="00963CFB">
        <w:rPr>
          <w:rStyle w:val="JuParaChar"/>
          <w:lang w:val="mk-MK"/>
        </w:rPr>
        <w:t xml:space="preserve">46 погоре), Судот повторно се повикува на наодот на јавниот обвинител дека немало елементи на какво било јавно кривично дело кое може да се гони во случајот на </w:t>
      </w:r>
      <w:r w:rsidR="0044064F">
        <w:rPr>
          <w:rStyle w:val="JuParaChar"/>
          <w:lang w:val="mk-MK"/>
        </w:rPr>
        <w:t>апликантката</w:t>
      </w:r>
      <w:r w:rsidR="00963CFB" w:rsidRPr="00963CFB">
        <w:rPr>
          <w:rStyle w:val="JuParaChar"/>
          <w:lang w:val="mk-MK"/>
        </w:rPr>
        <w:t xml:space="preserve">. Понатаму забележува дека приватно кривично гоничко дело навреда повеќе не постои во правниот систем. Владата не посочи ниту една друга основа врз основа на која </w:t>
      </w:r>
      <w:r w:rsidR="0044064F">
        <w:rPr>
          <w:rStyle w:val="JuParaChar"/>
          <w:lang w:val="mk-MK"/>
        </w:rPr>
        <w:t>апликантката</w:t>
      </w:r>
      <w:r w:rsidR="00963CFB" w:rsidRPr="00963CFB">
        <w:rPr>
          <w:rStyle w:val="JuParaChar"/>
          <w:lang w:val="mk-MK"/>
        </w:rPr>
        <w:t xml:space="preserve"> би можел да води кривично гонење. Според тоа, Судот не може да утврди дека </w:t>
      </w:r>
      <w:r w:rsidR="0044064F">
        <w:rPr>
          <w:rStyle w:val="JuParaChar"/>
          <w:lang w:val="mk-MK"/>
        </w:rPr>
        <w:t>апликантката</w:t>
      </w:r>
      <w:r w:rsidR="00963CFB" w:rsidRPr="00963CFB">
        <w:rPr>
          <w:rStyle w:val="JuParaChar"/>
          <w:lang w:val="mk-MK"/>
        </w:rPr>
        <w:t xml:space="preserve"> требало да поведе кривично гонење според член 56(2) од Законот за кривична постапка, бидејќи се чини дека таквата постапка немаше да има изгледи за успех</w:t>
      </w:r>
      <w:r w:rsidRPr="00996776">
        <w:rPr>
          <w:rStyle w:val="JuParaChar"/>
          <w:lang w:val="mk-MK"/>
        </w:rPr>
        <w:t>.</w:t>
      </w:r>
    </w:p>
    <w:p w14:paraId="4BB3C58F" w14:textId="58CB083D" w:rsidR="00795EF7" w:rsidRPr="00996776" w:rsidRDefault="00000000" w:rsidP="00A21C42">
      <w:pPr>
        <w:pStyle w:val="JuPara"/>
        <w:rPr>
          <w:rFonts w:cstheme="minorHAnsi"/>
          <w:color w:val="000000"/>
          <w:lang w:val="mk-MK"/>
        </w:rPr>
      </w:pPr>
      <w:r w:rsidRPr="00996776">
        <w:rPr>
          <w:rStyle w:val="JuParaChar"/>
          <w:lang w:val="mk-MK"/>
        </w:rPr>
        <w:fldChar w:fldCharType="begin"/>
      </w:r>
      <w:r w:rsidRPr="00996776">
        <w:rPr>
          <w:rStyle w:val="JuParaChar"/>
          <w:lang w:val="mk-MK"/>
        </w:rPr>
        <w:instrText xml:space="preserve"> SEQ level0 \*arabic \* MERGEFORMAT </w:instrText>
      </w:r>
      <w:r w:rsidRPr="00996776">
        <w:rPr>
          <w:rStyle w:val="JuParaChar"/>
          <w:lang w:val="mk-MK"/>
        </w:rPr>
        <w:fldChar w:fldCharType="separate"/>
      </w:r>
      <w:r w:rsidR="00A21C42" w:rsidRPr="00996776">
        <w:rPr>
          <w:rStyle w:val="JuParaChar"/>
          <w:noProof/>
          <w:lang w:val="mk-MK"/>
        </w:rPr>
        <w:t>59</w:t>
      </w:r>
      <w:r w:rsidRPr="00996776">
        <w:rPr>
          <w:rStyle w:val="JuParaChar"/>
          <w:lang w:val="mk-MK"/>
        </w:rPr>
        <w:fldChar w:fldCharType="end"/>
      </w:r>
      <w:r w:rsidRPr="00996776">
        <w:rPr>
          <w:rStyle w:val="JuParaChar"/>
          <w:lang w:val="mk-MK"/>
        </w:rPr>
        <w:t>.  </w:t>
      </w:r>
      <w:r w:rsidR="00963CFB" w:rsidRPr="00963CFB">
        <w:rPr>
          <w:rStyle w:val="JuParaChar"/>
          <w:lang w:val="mk-MK"/>
        </w:rPr>
        <w:t xml:space="preserve">Во однос на можноста подносителот на барањето да поднесе барање за надомест на штета против Ѓ.К. за заштита на нејзините лични права, како што е дефинирано во </w:t>
      </w:r>
      <w:r w:rsidR="00902413">
        <w:rPr>
          <w:rStyle w:val="JuParaChar"/>
          <w:lang w:val="mk-MK"/>
        </w:rPr>
        <w:t>членовите</w:t>
      </w:r>
      <w:r w:rsidR="00963CFB" w:rsidRPr="00963CFB">
        <w:rPr>
          <w:rStyle w:val="JuParaChar"/>
          <w:lang w:val="mk-MK"/>
        </w:rPr>
        <w:t xml:space="preserve"> 9-а и 189 од Законот за облигациони односи, Судот забележува дека во нејзината граѓанска тужба </w:t>
      </w:r>
      <w:r w:rsidR="006050DD">
        <w:rPr>
          <w:rStyle w:val="JuParaChar"/>
          <w:lang w:val="mk-MK"/>
        </w:rPr>
        <w:t>апликантката</w:t>
      </w:r>
      <w:r w:rsidR="00963CFB" w:rsidRPr="00963CFB">
        <w:rPr>
          <w:rStyle w:val="JuParaChar"/>
          <w:lang w:val="mk-MK"/>
        </w:rPr>
        <w:t xml:space="preserve"> ги опишала фактите на наводниот инцидент, </w:t>
      </w:r>
      <w:r w:rsidR="00963CFB" w:rsidRPr="00963CFB">
        <w:rPr>
          <w:rStyle w:val="JuParaChar"/>
          <w:lang w:val="mk-MK"/>
        </w:rPr>
        <w:lastRenderedPageBreak/>
        <w:t xml:space="preserve">тврдејќи дека тие претставуваат навреда, и барала компензација. Судот веќе заклучил дека не било неразумно </w:t>
      </w:r>
      <w:r w:rsidR="00963CFB">
        <w:rPr>
          <w:rStyle w:val="JuParaChar"/>
          <w:lang w:val="mk-MK"/>
        </w:rPr>
        <w:t>Апликантката</w:t>
      </w:r>
      <w:r w:rsidR="00963CFB" w:rsidRPr="00963CFB">
        <w:rPr>
          <w:rStyle w:val="JuParaChar"/>
          <w:lang w:val="mk-MK"/>
        </w:rPr>
        <w:t xml:space="preserve"> да ја искористи граѓанската постапка опишана во </w:t>
      </w:r>
      <w:r w:rsidR="00902413">
        <w:rPr>
          <w:lang w:val="mk-MK"/>
        </w:rPr>
        <w:t>параграф</w:t>
      </w:r>
      <w:r w:rsidR="00902413" w:rsidRPr="00996776">
        <w:rPr>
          <w:lang w:val="mk-MK"/>
        </w:rPr>
        <w:t xml:space="preserve"> </w:t>
      </w:r>
      <w:r w:rsidR="00963CFB" w:rsidRPr="00963CFB">
        <w:rPr>
          <w:rStyle w:val="JuParaChar"/>
          <w:lang w:val="mk-MK"/>
        </w:rPr>
        <w:t>10-14 погоре. Тој повторува дека кога се спроведува еден правен лек, не е потребна употреба на друг правен лек кој во суштина ја има истата цел (види, на пример</w:t>
      </w:r>
      <w:r w:rsidRPr="00996776">
        <w:rPr>
          <w:rStyle w:val="JuParaChar"/>
          <w:lang w:val="mk-MK"/>
        </w:rPr>
        <w:t xml:space="preserve">, </w:t>
      </w:r>
      <w:bookmarkStart w:id="43" w:name="_cl42182THELAW"/>
      <w:r w:rsidRPr="00996776">
        <w:rPr>
          <w:rStyle w:val="JuParaChar"/>
          <w:i/>
          <w:iCs/>
          <w:lang w:val="mk-MK" w:eastAsia="fr-FR"/>
        </w:rPr>
        <w:t>Elmazova and Others v. North Macedonia</w:t>
      </w:r>
      <w:bookmarkEnd w:id="43"/>
      <w:r w:rsidRPr="00996776">
        <w:rPr>
          <w:rStyle w:val="JuParaChar"/>
          <w:lang w:val="mk-MK" w:eastAsia="fr-FR"/>
        </w:rPr>
        <w:t xml:space="preserve">, </w:t>
      </w:r>
      <w:r w:rsidR="00963CFB">
        <w:rPr>
          <w:rStyle w:val="JuParaChar"/>
          <w:lang w:val="mk-MK" w:eastAsia="fr-FR"/>
        </w:rPr>
        <w:t>бр</w:t>
      </w:r>
      <w:r w:rsidRPr="00996776">
        <w:rPr>
          <w:rStyle w:val="JuParaChar"/>
          <w:lang w:val="mk-MK" w:eastAsia="fr-FR"/>
        </w:rPr>
        <w:t xml:space="preserve">. 11811/20 </w:t>
      </w:r>
      <w:r w:rsidR="00963CFB">
        <w:rPr>
          <w:rStyle w:val="JuParaChar"/>
          <w:lang w:val="mk-MK" w:eastAsia="fr-FR"/>
        </w:rPr>
        <w:t>и</w:t>
      </w:r>
      <w:r w:rsidRPr="00996776">
        <w:rPr>
          <w:rStyle w:val="JuParaChar"/>
          <w:lang w:val="mk-MK" w:eastAsia="fr-FR"/>
        </w:rPr>
        <w:t xml:space="preserve"> 13550/20, § 53, 13</w:t>
      </w:r>
      <w:r w:rsidR="00A75EA0" w:rsidRPr="00996776">
        <w:rPr>
          <w:rStyle w:val="JuParaChar"/>
          <w:lang w:val="mk-MK" w:eastAsia="fr-FR"/>
        </w:rPr>
        <w:t> </w:t>
      </w:r>
      <w:r w:rsidR="00963CFB" w:rsidRPr="00963CFB">
        <w:rPr>
          <w:rStyle w:val="JuParaChar"/>
          <w:lang w:val="mk-MK" w:eastAsia="fr-FR"/>
        </w:rPr>
        <w:t xml:space="preserve">декември 2022 година). Затоа, неуспехот на </w:t>
      </w:r>
      <w:r w:rsidR="00963CFB">
        <w:rPr>
          <w:rStyle w:val="JuParaChar"/>
          <w:lang w:val="mk-MK" w:eastAsia="fr-FR"/>
        </w:rPr>
        <w:t>апликантката</w:t>
      </w:r>
      <w:r w:rsidR="00963CFB" w:rsidRPr="00963CFB">
        <w:rPr>
          <w:rStyle w:val="JuParaChar"/>
          <w:lang w:val="mk-MK" w:eastAsia="fr-FR"/>
        </w:rPr>
        <w:t xml:space="preserve"> да поднесе друго барање за надомест на штета во врска со истите факти, но на различна правна основа (прекршување на личните права), не е еднакво на неисцрпување на домашните правни лекови</w:t>
      </w:r>
      <w:r w:rsidRPr="00996776">
        <w:rPr>
          <w:rFonts w:cstheme="minorHAnsi"/>
          <w:color w:val="000000"/>
          <w:lang w:val="mk-MK"/>
        </w:rPr>
        <w:t>.</w:t>
      </w:r>
    </w:p>
    <w:p w14:paraId="4AAEEA79" w14:textId="5585AC88" w:rsidR="00795EF7" w:rsidRPr="00996776" w:rsidRDefault="00000000" w:rsidP="00A21C42">
      <w:pPr>
        <w:pStyle w:val="JuPara"/>
        <w:rPr>
          <w:rFonts w:ascii="Arial" w:hAnsi="Arial" w:cs="Arial"/>
          <w:color w:val="000000"/>
          <w:lang w:val="mk-MK"/>
        </w:rPr>
      </w:pPr>
      <w:r w:rsidRPr="00996776">
        <w:rPr>
          <w:rFonts w:cstheme="minorHAnsi"/>
          <w:color w:val="000000"/>
          <w:lang w:val="mk-MK"/>
        </w:rPr>
        <w:fldChar w:fldCharType="begin"/>
      </w:r>
      <w:r w:rsidRPr="00996776">
        <w:rPr>
          <w:rFonts w:cstheme="minorHAnsi"/>
          <w:color w:val="000000"/>
          <w:lang w:val="mk-MK"/>
        </w:rPr>
        <w:instrText xml:space="preserve"> SEQ level0 \*arabic \* MERGEFORMAT </w:instrText>
      </w:r>
      <w:r w:rsidRPr="00996776">
        <w:rPr>
          <w:rFonts w:cstheme="minorHAnsi"/>
          <w:color w:val="000000"/>
          <w:lang w:val="mk-MK"/>
        </w:rPr>
        <w:fldChar w:fldCharType="separate"/>
      </w:r>
      <w:r w:rsidR="00A21C42" w:rsidRPr="00996776">
        <w:rPr>
          <w:rFonts w:cstheme="minorHAnsi"/>
          <w:noProof/>
          <w:color w:val="000000"/>
          <w:lang w:val="mk-MK"/>
        </w:rPr>
        <w:t>60</w:t>
      </w:r>
      <w:r w:rsidRPr="00996776">
        <w:rPr>
          <w:rFonts w:cstheme="minorHAnsi"/>
          <w:color w:val="000000"/>
          <w:lang w:val="mk-MK"/>
        </w:rPr>
        <w:fldChar w:fldCharType="end"/>
      </w:r>
      <w:r w:rsidRPr="00996776">
        <w:rPr>
          <w:rFonts w:cstheme="minorHAnsi"/>
          <w:color w:val="000000"/>
          <w:lang w:val="mk-MK"/>
        </w:rPr>
        <w:t>.  </w:t>
      </w:r>
      <w:r w:rsidR="00963CFB" w:rsidRPr="00963CFB">
        <w:rPr>
          <w:rFonts w:cstheme="minorHAnsi"/>
          <w:color w:val="000000"/>
          <w:lang w:val="mk-MK"/>
        </w:rPr>
        <w:t>Следствено, приговорите на Владата за непочитување на шестмесечното правило и неисцрпување на домашните правни лекови мора да бидат отфрлени</w:t>
      </w:r>
      <w:r w:rsidRPr="00996776">
        <w:rPr>
          <w:rFonts w:cstheme="minorHAnsi"/>
          <w:color w:val="000000"/>
          <w:lang w:val="mk-MK"/>
        </w:rPr>
        <w:t>.</w:t>
      </w:r>
    </w:p>
    <w:p w14:paraId="3365F089" w14:textId="7EEF65F1"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61</w:t>
      </w:r>
      <w:r w:rsidRPr="00996776">
        <w:rPr>
          <w:noProof/>
          <w:lang w:val="mk-MK"/>
        </w:rPr>
        <w:fldChar w:fldCharType="end"/>
      </w:r>
      <w:r w:rsidRPr="00996776">
        <w:rPr>
          <w:lang w:val="mk-MK"/>
        </w:rPr>
        <w:t>.  </w:t>
      </w:r>
      <w:r w:rsidR="00963CFB" w:rsidRPr="00963CFB">
        <w:rPr>
          <w:lang w:val="mk-MK"/>
        </w:rPr>
        <w:t xml:space="preserve">Судот понатаму забележува дека жалбата на </w:t>
      </w:r>
      <w:r w:rsidR="00963CFB">
        <w:rPr>
          <w:lang w:val="mk-MK"/>
        </w:rPr>
        <w:t>апликантката</w:t>
      </w:r>
      <w:r w:rsidR="00963CFB" w:rsidRPr="00963CFB">
        <w:rPr>
          <w:lang w:val="mk-MK"/>
        </w:rPr>
        <w:t xml:space="preserve"> не е ниту очигледно неоснована ниту недопуштена по која било друга основа наведена во член 35 од Конвенцијата. Затоа мора да се прогласи за допуштена</w:t>
      </w:r>
      <w:r w:rsidRPr="00996776">
        <w:rPr>
          <w:lang w:val="mk-MK"/>
        </w:rPr>
        <w:t>.</w:t>
      </w:r>
    </w:p>
    <w:p w14:paraId="68C983AB" w14:textId="7184B89D" w:rsidR="00795EF7" w:rsidRPr="00996776" w:rsidRDefault="00963CFB" w:rsidP="00A21C42">
      <w:pPr>
        <w:pStyle w:val="JuHA"/>
        <w:rPr>
          <w:lang w:val="mk-MK"/>
        </w:rPr>
      </w:pPr>
      <w:r>
        <w:rPr>
          <w:lang w:val="mk-MK"/>
        </w:rPr>
        <w:t>Основаност</w:t>
      </w:r>
    </w:p>
    <w:p w14:paraId="15CD3767" w14:textId="39F36AF7" w:rsidR="00795EF7" w:rsidRPr="00996776" w:rsidRDefault="00963CFB" w:rsidP="00A21C42">
      <w:pPr>
        <w:pStyle w:val="JuH1"/>
        <w:rPr>
          <w:lang w:val="mk-MK"/>
        </w:rPr>
      </w:pPr>
      <w:r w:rsidRPr="00963CFB">
        <w:rPr>
          <w:lang w:val="mk-MK"/>
        </w:rPr>
        <w:t xml:space="preserve">Произнесување на странките </w:t>
      </w:r>
    </w:p>
    <w:p w14:paraId="7CD31CB1" w14:textId="027232CE"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62</w:t>
      </w:r>
      <w:r w:rsidRPr="00996776">
        <w:rPr>
          <w:noProof/>
          <w:lang w:val="mk-MK"/>
        </w:rPr>
        <w:fldChar w:fldCharType="end"/>
      </w:r>
      <w:r w:rsidRPr="00996776">
        <w:rPr>
          <w:lang w:val="mk-MK"/>
        </w:rPr>
        <w:t>.  </w:t>
      </w:r>
      <w:r w:rsidR="00963CFB">
        <w:rPr>
          <w:lang w:val="mk-MK"/>
        </w:rPr>
        <w:t>Апликантката</w:t>
      </w:r>
      <w:r w:rsidR="00963CFB" w:rsidRPr="00963CFB">
        <w:rPr>
          <w:lang w:val="mk-MK"/>
        </w:rPr>
        <w:t xml:space="preserve"> изјави дека домашниот правен систем и дејствијата на властите во нејзиниот конкретен случај не ги исполниле барањата од позитивната обврска на државата според член 8 да ја заштити од дејствијата на Ѓ.К. Одредбите на кривичното право не опфаќаат „други </w:t>
      </w:r>
      <w:r w:rsidR="0044064F">
        <w:rPr>
          <w:lang w:val="mk-MK"/>
        </w:rPr>
        <w:t>полови</w:t>
      </w:r>
      <w:r w:rsidR="00963CFB" w:rsidRPr="00963CFB">
        <w:rPr>
          <w:lang w:val="mk-MK"/>
        </w:rPr>
        <w:t xml:space="preserve"> дејствија“ извршени врз деца на возраст над 14 години. Судовите во граѓанската постапка не ја разгледаа Конвенцијата, ниту која било одредба од Законот за облигациони односи (освен член 191) или Законот за граѓанска постапка, при решавање на нејзините поплаки</w:t>
      </w:r>
      <w:r w:rsidRPr="00996776">
        <w:rPr>
          <w:lang w:val="mk-MK"/>
        </w:rPr>
        <w:t>.</w:t>
      </w:r>
    </w:p>
    <w:p w14:paraId="4A00ADEF" w14:textId="1B99C0BA"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bookmarkStart w:id="44" w:name="paragraph00065"/>
      <w:r w:rsidRPr="00996776">
        <w:rPr>
          <w:noProof/>
          <w:lang w:val="mk-MK"/>
        </w:rPr>
        <w:t>63</w:t>
      </w:r>
      <w:bookmarkEnd w:id="44"/>
      <w:r w:rsidRPr="00996776">
        <w:rPr>
          <w:noProof/>
          <w:lang w:val="mk-MK"/>
        </w:rPr>
        <w:fldChar w:fldCharType="end"/>
      </w:r>
      <w:r w:rsidRPr="00996776">
        <w:rPr>
          <w:lang w:val="mk-MK"/>
        </w:rPr>
        <w:t>.  </w:t>
      </w:r>
      <w:r w:rsidR="00963CFB" w:rsidRPr="00963CFB">
        <w:rPr>
          <w:lang w:val="mk-MK"/>
        </w:rPr>
        <w:t xml:space="preserve">Владата изјави дека домашната правна рамка и дејствијата на домашните власти во конкретниот случај целосно ги задоволувале барањата од позитивната обврска на државата според член 8. Членот 188 од Кривичниот законик ги криминализира „другите </w:t>
      </w:r>
      <w:r w:rsidR="0044064F">
        <w:rPr>
          <w:lang w:val="mk-MK"/>
        </w:rPr>
        <w:t>полови</w:t>
      </w:r>
      <w:r w:rsidR="00963CFB" w:rsidRPr="00963CFB">
        <w:rPr>
          <w:lang w:val="mk-MK"/>
        </w:rPr>
        <w:t xml:space="preserve"> дејствија“ извршени без сила или закана врз дете на возраст под 14 години, што ги исполнувало барањата од Конвенцијата на Ланзарот. Меѓутоа, </w:t>
      </w:r>
      <w:r w:rsidR="00963CFB">
        <w:rPr>
          <w:lang w:val="mk-MK"/>
        </w:rPr>
        <w:t>Апликантката</w:t>
      </w:r>
      <w:r w:rsidR="00963CFB" w:rsidRPr="00963CFB">
        <w:rPr>
          <w:lang w:val="mk-MK"/>
        </w:rPr>
        <w:t xml:space="preserve"> веќе наполнил 14 години за време на наводниот инцидент. Домашните власти спроведоа ефикасна кривична истрага за наводите на </w:t>
      </w:r>
      <w:r w:rsidR="0044064F">
        <w:rPr>
          <w:lang w:val="mk-MK"/>
        </w:rPr>
        <w:t>апликантката</w:t>
      </w:r>
      <w:r w:rsidR="00963CFB" w:rsidRPr="00963CFB">
        <w:rPr>
          <w:lang w:val="mk-MK"/>
        </w:rPr>
        <w:t xml:space="preserve">. Правната рамка исто така обезбедила заштита според граѓанското право, особено преку можноста </w:t>
      </w:r>
      <w:r w:rsidR="0044064F">
        <w:rPr>
          <w:lang w:val="mk-MK"/>
        </w:rPr>
        <w:t>апликантката</w:t>
      </w:r>
      <w:r w:rsidR="00963CFB" w:rsidRPr="00963CFB">
        <w:rPr>
          <w:lang w:val="mk-MK"/>
        </w:rPr>
        <w:t xml:space="preserve"> да поднесе барање за граѓанска компензација за заштита на личните права според членовите 9-а и 189 од Законот за облигациони односи. Државата имаше широка маргина на благодарност во </w:t>
      </w:r>
      <w:r w:rsidR="00963CFB" w:rsidRPr="00963CFB">
        <w:rPr>
          <w:lang w:val="mk-MK"/>
        </w:rPr>
        <w:lastRenderedPageBreak/>
        <w:t>регулирањето на прашањата како што се оние што се појавуваат во овој случај.</w:t>
      </w:r>
    </w:p>
    <w:p w14:paraId="171D7894" w14:textId="4176356F" w:rsidR="00795EF7" w:rsidRPr="00996776" w:rsidRDefault="00963CFB" w:rsidP="00A21C42">
      <w:pPr>
        <w:pStyle w:val="JuH1"/>
        <w:rPr>
          <w:lang w:val="mk-MK"/>
        </w:rPr>
      </w:pPr>
      <w:r w:rsidRPr="00963CFB">
        <w:rPr>
          <w:lang w:val="mk-MK"/>
        </w:rPr>
        <w:t>Оцена на Судот</w:t>
      </w:r>
      <w:r w:rsidRPr="00996776">
        <w:rPr>
          <w:lang w:val="mk-MK"/>
        </w:rPr>
        <w:t xml:space="preserve"> </w:t>
      </w:r>
    </w:p>
    <w:p w14:paraId="60A77591" w14:textId="27C929D0" w:rsidR="00795EF7" w:rsidRPr="00996776" w:rsidRDefault="00963CFB" w:rsidP="00A21C42">
      <w:pPr>
        <w:pStyle w:val="JuHa0"/>
        <w:rPr>
          <w:lang w:val="mk-MK"/>
        </w:rPr>
      </w:pPr>
      <w:r w:rsidRPr="00963CFB">
        <w:rPr>
          <w:lang w:val="mk-MK"/>
        </w:rPr>
        <w:t>Општи принципи</w:t>
      </w:r>
      <w:r>
        <w:rPr>
          <w:lang w:val="mk-MK"/>
        </w:rPr>
        <w:t xml:space="preserve"> </w:t>
      </w:r>
    </w:p>
    <w:p w14:paraId="13563789" w14:textId="713BB0CC"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64</w:t>
      </w:r>
      <w:r w:rsidRPr="00996776">
        <w:rPr>
          <w:noProof/>
          <w:lang w:val="mk-MK"/>
        </w:rPr>
        <w:fldChar w:fldCharType="end"/>
      </w:r>
      <w:r w:rsidRPr="00996776">
        <w:rPr>
          <w:lang w:val="mk-MK"/>
        </w:rPr>
        <w:t>.  </w:t>
      </w:r>
      <w:r w:rsidR="00963CFB" w:rsidRPr="00963CFB">
        <w:rPr>
          <w:lang w:val="mk-MK"/>
        </w:rPr>
        <w:t xml:space="preserve">Општите принципи во врска со позитивната обврска на државата според член 8 од Конвенцијата се сумирани во </w:t>
      </w:r>
      <w:r w:rsidR="00963CFB" w:rsidRPr="00963CFB">
        <w:rPr>
          <w:i/>
          <w:iCs/>
          <w:lang w:val="mk-MK"/>
        </w:rPr>
        <w:t>Söderman v. Sweden</w:t>
      </w:r>
      <w:r w:rsidR="00963CFB" w:rsidRPr="00963CFB">
        <w:rPr>
          <w:lang w:val="mk-MK"/>
        </w:rPr>
        <w:t xml:space="preserve"> ([GC], бр. 5786/08, §§ 78-85, </w:t>
      </w:r>
      <w:r w:rsidR="000E389F">
        <w:rPr>
          <w:lang w:val="mk-MK"/>
        </w:rPr>
        <w:t>ЕСЧП</w:t>
      </w:r>
      <w:r w:rsidR="00963CFB" w:rsidRPr="00963CFB">
        <w:rPr>
          <w:lang w:val="mk-MK"/>
        </w:rPr>
        <w:t xml:space="preserve"> 2013, со дополнителни упатувања). Особено, во однос на заштитата на физичкиот и психолошкиот интегритет на поединец од други лица, позитивните обврски на властите може да вклучуваат должност да одржуваат и применуваат во пракса соодветна правна рамка која обезбедува заштита од </w:t>
      </w:r>
      <w:r w:rsidR="000E389F">
        <w:rPr>
          <w:lang w:val="mk-MK"/>
        </w:rPr>
        <w:t>дејствија</w:t>
      </w:r>
      <w:r w:rsidR="00963CFB" w:rsidRPr="00963CFB">
        <w:rPr>
          <w:lang w:val="mk-MK"/>
        </w:rPr>
        <w:t xml:space="preserve"> на насилство од страна на приватни лица (ibid., § 80).</w:t>
      </w:r>
    </w:p>
    <w:p w14:paraId="6D9D3FE9" w14:textId="38A52D9C" w:rsidR="00795EF7" w:rsidRPr="00996776" w:rsidRDefault="00795EF7" w:rsidP="00A21C42">
      <w:pPr>
        <w:pStyle w:val="JuPara"/>
        <w:rPr>
          <w:rFonts w:cstheme="minorHAnsi"/>
          <w:color w:val="000000"/>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65</w:t>
      </w:r>
      <w:r w:rsidRPr="00996776">
        <w:rPr>
          <w:noProof/>
          <w:lang w:val="mk-MK"/>
        </w:rPr>
        <w:fldChar w:fldCharType="end"/>
      </w:r>
      <w:r w:rsidRPr="00996776">
        <w:rPr>
          <w:rFonts w:ascii="Arial" w:hAnsi="Arial" w:cs="Arial"/>
          <w:color w:val="000000"/>
          <w:lang w:val="mk-MK"/>
        </w:rPr>
        <w:t>.  </w:t>
      </w:r>
      <w:bookmarkStart w:id="45" w:name="_cl30820THELAW"/>
      <w:r w:rsidR="00A25C4D" w:rsidRPr="00A25C4D">
        <w:rPr>
          <w:lang w:val="mk-MK"/>
        </w:rPr>
        <w:t>Судот повторува дека позитивните обврски на земјите</w:t>
      </w:r>
      <w:r w:rsidR="000E389F">
        <w:rPr>
          <w:lang w:val="mk-MK"/>
        </w:rPr>
        <w:t xml:space="preserve"> </w:t>
      </w:r>
      <w:r w:rsidR="00A25C4D" w:rsidRPr="00A25C4D">
        <w:rPr>
          <w:lang w:val="mk-MK"/>
        </w:rPr>
        <w:t>членки според членовите 3 и 8 од Конвенцијата мора да се гледаат како што бараат криминализација и ефективно гонење на ко</w:t>
      </w:r>
      <w:r w:rsidR="000E389F">
        <w:rPr>
          <w:lang w:val="mk-MK"/>
        </w:rPr>
        <w:t>е било полово дејствие</w:t>
      </w:r>
      <w:r w:rsidR="0044064F">
        <w:rPr>
          <w:lang w:val="mk-MK"/>
        </w:rPr>
        <w:t xml:space="preserve"> </w:t>
      </w:r>
      <w:r w:rsidR="00A25C4D" w:rsidRPr="00A25C4D">
        <w:rPr>
          <w:lang w:val="mk-MK"/>
        </w:rPr>
        <w:t>без согласност (види</w:t>
      </w:r>
      <w:r w:rsidR="00A25C4D">
        <w:rPr>
          <w:lang w:val="mk-MK"/>
        </w:rPr>
        <w:t xml:space="preserve"> </w:t>
      </w:r>
      <w:r w:rsidRPr="00996776">
        <w:rPr>
          <w:i/>
          <w:iCs/>
          <w:lang w:val="mk-MK"/>
        </w:rPr>
        <w:t>M.C. v. Bulgaria</w:t>
      </w:r>
      <w:bookmarkEnd w:id="45"/>
      <w:r w:rsidRPr="00996776">
        <w:rPr>
          <w:lang w:val="mk-MK"/>
        </w:rPr>
        <w:t xml:space="preserve">, </w:t>
      </w:r>
      <w:r w:rsidR="00A25C4D">
        <w:rPr>
          <w:lang w:val="mk-MK"/>
        </w:rPr>
        <w:t>цитирано погоре</w:t>
      </w:r>
      <w:r w:rsidRPr="00996776">
        <w:rPr>
          <w:lang w:val="mk-MK"/>
        </w:rPr>
        <w:t xml:space="preserve">, § 166, </w:t>
      </w:r>
      <w:r w:rsidR="00A25C4D">
        <w:rPr>
          <w:lang w:val="mk-MK"/>
        </w:rPr>
        <w:t>и</w:t>
      </w:r>
      <w:r w:rsidRPr="00996776">
        <w:rPr>
          <w:lang w:val="mk-MK"/>
        </w:rPr>
        <w:t xml:space="preserve"> </w:t>
      </w:r>
      <w:bookmarkStart w:id="46" w:name="_cl40740THELAW"/>
      <w:r w:rsidRPr="00996776">
        <w:rPr>
          <w:i/>
          <w:iCs/>
          <w:lang w:val="mk-MK"/>
        </w:rPr>
        <w:t>J.L. v. Italy</w:t>
      </w:r>
      <w:bookmarkEnd w:id="46"/>
      <w:r w:rsidRPr="00996776">
        <w:rPr>
          <w:lang w:val="mk-MK"/>
        </w:rPr>
        <w:t xml:space="preserve">, </w:t>
      </w:r>
      <w:r w:rsidR="00A25C4D">
        <w:rPr>
          <w:lang w:val="mk-MK"/>
        </w:rPr>
        <w:t>бр</w:t>
      </w:r>
      <w:r w:rsidRPr="00996776">
        <w:rPr>
          <w:lang w:val="mk-MK"/>
        </w:rPr>
        <w:t xml:space="preserve">. 5671/16, § 85, 27 </w:t>
      </w:r>
      <w:r w:rsidR="00A25C4D">
        <w:rPr>
          <w:lang w:val="mk-MK"/>
        </w:rPr>
        <w:t>мај</w:t>
      </w:r>
      <w:r w:rsidRPr="00996776">
        <w:rPr>
          <w:lang w:val="mk-MK"/>
        </w:rPr>
        <w:t xml:space="preserve"> 2021</w:t>
      </w:r>
      <w:r w:rsidR="00A25C4D">
        <w:rPr>
          <w:lang w:val="mk-MK"/>
        </w:rPr>
        <w:t xml:space="preserve"> година</w:t>
      </w:r>
      <w:r w:rsidRPr="00996776">
        <w:rPr>
          <w:lang w:val="mk-MK"/>
        </w:rPr>
        <w:t>).</w:t>
      </w:r>
    </w:p>
    <w:p w14:paraId="44A9AFE0" w14:textId="4A8AD883" w:rsidR="00795EF7" w:rsidRPr="00996776" w:rsidRDefault="00000000" w:rsidP="00A21C42">
      <w:pPr>
        <w:pStyle w:val="JuPara"/>
        <w:rPr>
          <w:lang w:val="mk-MK"/>
        </w:rPr>
      </w:pPr>
      <w:r w:rsidRPr="00996776">
        <w:rPr>
          <w:rFonts w:cstheme="minorHAnsi"/>
          <w:color w:val="000000"/>
          <w:lang w:val="mk-MK"/>
        </w:rPr>
        <w:fldChar w:fldCharType="begin"/>
      </w:r>
      <w:r w:rsidRPr="00996776">
        <w:rPr>
          <w:rFonts w:cstheme="minorHAnsi"/>
          <w:color w:val="000000"/>
          <w:lang w:val="mk-MK"/>
        </w:rPr>
        <w:instrText xml:space="preserve"> SEQ level0 \*arabic \* MERGEFORMAT </w:instrText>
      </w:r>
      <w:r w:rsidRPr="00996776">
        <w:rPr>
          <w:rFonts w:cstheme="minorHAnsi"/>
          <w:color w:val="000000"/>
          <w:lang w:val="mk-MK"/>
        </w:rPr>
        <w:fldChar w:fldCharType="separate"/>
      </w:r>
      <w:r w:rsidR="00A21C42" w:rsidRPr="00996776">
        <w:rPr>
          <w:rFonts w:cstheme="minorHAnsi"/>
          <w:noProof/>
          <w:color w:val="000000"/>
          <w:lang w:val="mk-MK"/>
        </w:rPr>
        <w:t>66</w:t>
      </w:r>
      <w:r w:rsidRPr="00996776">
        <w:rPr>
          <w:rFonts w:cstheme="minorHAnsi"/>
          <w:color w:val="000000"/>
          <w:lang w:val="mk-MK"/>
        </w:rPr>
        <w:fldChar w:fldCharType="end"/>
      </w:r>
      <w:r w:rsidRPr="00996776">
        <w:rPr>
          <w:rFonts w:cstheme="minorHAnsi"/>
          <w:color w:val="000000"/>
          <w:lang w:val="mk-MK"/>
        </w:rPr>
        <w:t>.  </w:t>
      </w:r>
      <w:r w:rsidR="00A25C4D" w:rsidRPr="00A25C4D">
        <w:rPr>
          <w:rFonts w:cstheme="minorHAnsi"/>
          <w:color w:val="000000"/>
          <w:lang w:val="mk-MK"/>
        </w:rPr>
        <w:t xml:space="preserve">Во однос, поконкретно, сериозни </w:t>
      </w:r>
      <w:r w:rsidR="0044064F">
        <w:rPr>
          <w:rFonts w:cstheme="minorHAnsi"/>
          <w:color w:val="000000"/>
          <w:lang w:val="mk-MK"/>
        </w:rPr>
        <w:t>дејствија</w:t>
      </w:r>
      <w:r w:rsidR="00A25C4D" w:rsidRPr="00A25C4D">
        <w:rPr>
          <w:rFonts w:cstheme="minorHAnsi"/>
          <w:color w:val="000000"/>
          <w:lang w:val="mk-MK"/>
        </w:rPr>
        <w:t xml:space="preserve"> како што се силување и други форми на </w:t>
      </w:r>
      <w:r w:rsidR="0044064F">
        <w:rPr>
          <w:rFonts w:cstheme="minorHAnsi"/>
          <w:color w:val="000000"/>
          <w:lang w:val="mk-MK"/>
        </w:rPr>
        <w:t xml:space="preserve">полово вознемирување </w:t>
      </w:r>
      <w:r w:rsidR="00A25C4D" w:rsidRPr="00A25C4D">
        <w:rPr>
          <w:rFonts w:cstheme="minorHAnsi"/>
          <w:color w:val="000000"/>
          <w:lang w:val="mk-MK"/>
        </w:rPr>
        <w:t xml:space="preserve">на деца, вклучително и </w:t>
      </w:r>
      <w:r w:rsidR="0044064F">
        <w:rPr>
          <w:rFonts w:cstheme="minorHAnsi"/>
          <w:color w:val="000000"/>
          <w:lang w:val="mk-MK"/>
        </w:rPr>
        <w:t>полова</w:t>
      </w:r>
      <w:r w:rsidR="00A25C4D" w:rsidRPr="00A25C4D">
        <w:rPr>
          <w:rFonts w:cstheme="minorHAnsi"/>
          <w:color w:val="000000"/>
          <w:lang w:val="mk-MK"/>
        </w:rPr>
        <w:t xml:space="preserve"> злоупотреба, каде што се загрозени фундаменталните вредности и суштинските аспекти на приватниот живот, на земјите</w:t>
      </w:r>
      <w:r w:rsidR="0044064F">
        <w:rPr>
          <w:rFonts w:cstheme="minorHAnsi"/>
          <w:color w:val="000000"/>
          <w:lang w:val="mk-MK"/>
        </w:rPr>
        <w:t xml:space="preserve"> </w:t>
      </w:r>
      <w:r w:rsidR="00A25C4D" w:rsidRPr="00A25C4D">
        <w:rPr>
          <w:rFonts w:cstheme="minorHAnsi"/>
          <w:color w:val="000000"/>
          <w:lang w:val="mk-MK"/>
        </w:rPr>
        <w:t xml:space="preserve">членки им припаѓа да се погрижат да се воспостават одредби од кривично-правниот закон за ефикасно казнување на </w:t>
      </w:r>
      <w:r w:rsidR="0044064F">
        <w:rPr>
          <w:rFonts w:cstheme="minorHAnsi"/>
          <w:color w:val="000000"/>
          <w:lang w:val="mk-MK"/>
        </w:rPr>
        <w:t>полова</w:t>
      </w:r>
      <w:r w:rsidR="00A25C4D" w:rsidRPr="00A25C4D">
        <w:rPr>
          <w:rFonts w:cstheme="minorHAnsi"/>
          <w:color w:val="000000"/>
          <w:lang w:val="mk-MK"/>
        </w:rPr>
        <w:t xml:space="preserve">та злоупотреба на деца и дека тие се применуваат во пракса преку ефективна истрага и гонење </w:t>
      </w:r>
      <w:r w:rsidRPr="00996776">
        <w:rPr>
          <w:lang w:val="mk-MK"/>
        </w:rPr>
        <w:t>(</w:t>
      </w:r>
      <w:r w:rsidR="00A25C4D">
        <w:rPr>
          <w:lang w:val="mk-MK"/>
        </w:rPr>
        <w:t>види</w:t>
      </w:r>
      <w:r w:rsidRPr="00996776">
        <w:rPr>
          <w:lang w:val="mk-MK"/>
        </w:rPr>
        <w:t xml:space="preserve"> </w:t>
      </w:r>
      <w:r w:rsidRPr="00996776">
        <w:rPr>
          <w:i/>
          <w:iCs/>
          <w:lang w:val="mk-MK"/>
        </w:rPr>
        <w:t>A and B v.</w:t>
      </w:r>
      <w:r w:rsidR="00BC55D9" w:rsidRPr="00996776">
        <w:rPr>
          <w:i/>
          <w:iCs/>
          <w:lang w:val="mk-MK"/>
        </w:rPr>
        <w:t> </w:t>
      </w:r>
      <w:r w:rsidRPr="00996776">
        <w:rPr>
          <w:i/>
          <w:iCs/>
          <w:lang w:val="mk-MK"/>
        </w:rPr>
        <w:t>Croatia</w:t>
      </w:r>
      <w:r w:rsidRPr="00996776">
        <w:rPr>
          <w:lang w:val="mk-MK"/>
        </w:rPr>
        <w:t xml:space="preserve">, </w:t>
      </w:r>
      <w:r w:rsidR="00A25C4D">
        <w:rPr>
          <w:lang w:val="mk-MK"/>
        </w:rPr>
        <w:t>цитиран погоре</w:t>
      </w:r>
      <w:r w:rsidRPr="00996776">
        <w:rPr>
          <w:lang w:val="mk-MK"/>
        </w:rPr>
        <w:t xml:space="preserve">, § 110, </w:t>
      </w:r>
      <w:r w:rsidR="00A25C4D" w:rsidRPr="00A25C4D">
        <w:rPr>
          <w:lang w:val="mk-MK"/>
        </w:rPr>
        <w:t>и случаите наведени таму</w:t>
      </w:r>
      <w:r w:rsidRPr="00996776">
        <w:rPr>
          <w:lang w:val="mk-MK"/>
        </w:rPr>
        <w:t>).</w:t>
      </w:r>
    </w:p>
    <w:bookmarkStart w:id="47" w:name="paragraph00069"/>
    <w:p w14:paraId="3CCD034F" w14:textId="06ACEF60" w:rsidR="00795EF7" w:rsidRPr="00996776" w:rsidRDefault="00000000"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00A21C42" w:rsidRPr="00996776">
        <w:rPr>
          <w:noProof/>
          <w:lang w:val="mk-MK"/>
        </w:rPr>
        <w:t>67</w:t>
      </w:r>
      <w:r w:rsidRPr="00996776">
        <w:rPr>
          <w:lang w:val="mk-MK"/>
        </w:rPr>
        <w:fldChar w:fldCharType="end"/>
      </w:r>
      <w:bookmarkEnd w:id="47"/>
      <w:r w:rsidRPr="00996776">
        <w:rPr>
          <w:lang w:val="mk-MK"/>
        </w:rPr>
        <w:t>.  </w:t>
      </w:r>
      <w:r w:rsidR="00A25C4D" w:rsidRPr="00A25C4D">
        <w:rPr>
          <w:lang w:val="mk-MK"/>
        </w:rPr>
        <w:t xml:space="preserve">Во однос на таквите сериозни </w:t>
      </w:r>
      <w:r w:rsidR="0044064F">
        <w:rPr>
          <w:lang w:val="mk-MK"/>
        </w:rPr>
        <w:t>дејствија</w:t>
      </w:r>
      <w:r w:rsidR="00A25C4D" w:rsidRPr="00A25C4D">
        <w:rPr>
          <w:lang w:val="mk-MK"/>
        </w:rPr>
        <w:t xml:space="preserve">, позитивната обврска на државата според членовите 3 и 8 да го заштити физичкиот интегритет на поединецот може да се прошири и на прашањата кои се однесуваат на ефективноста на кривичната истрага и на можноста за добивање на репарација и обесштетување, иако не постои апсолутно право да се добие кривично гонење или осуда на кое било конкретно лице каде што немало виновници кои бараат одговорност за кривично дело </w:t>
      </w:r>
      <w:r w:rsidR="00A25C4D" w:rsidRPr="00A25C4D">
        <w:rPr>
          <w:i/>
          <w:iCs/>
          <w:lang w:val="mk-MK"/>
        </w:rPr>
        <w:t>Söderman</w:t>
      </w:r>
      <w:r w:rsidR="00A25C4D" w:rsidRPr="00A25C4D">
        <w:rPr>
          <w:lang w:val="mk-MK"/>
        </w:rPr>
        <w:t xml:space="preserve">, цитиран погоре, § 83). Во овој момент, Судот повторува дека обврските преземени од државата според членовите 3 и 8 од Конвенцијата во случаи на наводна </w:t>
      </w:r>
      <w:r w:rsidR="0044064F">
        <w:rPr>
          <w:lang w:val="mk-MK"/>
        </w:rPr>
        <w:t>полова</w:t>
      </w:r>
      <w:r w:rsidR="00A25C4D" w:rsidRPr="00A25C4D">
        <w:rPr>
          <w:lang w:val="mk-MK"/>
        </w:rPr>
        <w:t xml:space="preserve"> злоупотреба на деца бараат почитување на најдобрите интереси на детето. Правото на човечко достоинство и психолошки интегритет бара особено внимание кога детето е жртва на насилство (види, на пример,</w:t>
      </w:r>
      <w:r w:rsidRPr="00996776">
        <w:rPr>
          <w:rFonts w:cstheme="minorHAnsi"/>
          <w:lang w:val="mk-MK"/>
        </w:rPr>
        <w:t xml:space="preserve">, </w:t>
      </w:r>
      <w:r w:rsidRPr="00996776">
        <w:rPr>
          <w:rFonts w:cstheme="minorHAnsi"/>
          <w:i/>
          <w:iCs/>
          <w:lang w:val="mk-MK"/>
        </w:rPr>
        <w:t>R.B. v. Estonia</w:t>
      </w:r>
      <w:r w:rsidRPr="00996776">
        <w:rPr>
          <w:rFonts w:cstheme="minorHAnsi"/>
          <w:lang w:val="mk-MK"/>
        </w:rPr>
        <w:t xml:space="preserve">, </w:t>
      </w:r>
      <w:r w:rsidR="00A25C4D" w:rsidRPr="00A25C4D">
        <w:rPr>
          <w:lang w:val="mk-MK"/>
        </w:rPr>
        <w:t>цитирано погоре, § 83, со дополнителни референци</w:t>
      </w:r>
      <w:r w:rsidRPr="00996776">
        <w:rPr>
          <w:rFonts w:cstheme="minorHAnsi"/>
          <w:lang w:val="mk-MK"/>
        </w:rPr>
        <w:t>).</w:t>
      </w:r>
    </w:p>
    <w:p w14:paraId="2004CCDC" w14:textId="0464C630" w:rsidR="00795EF7" w:rsidRPr="00996776" w:rsidRDefault="00A25C4D" w:rsidP="00A21C42">
      <w:pPr>
        <w:pStyle w:val="JuHa0"/>
        <w:rPr>
          <w:lang w:val="mk-MK"/>
        </w:rPr>
      </w:pPr>
      <w:r w:rsidRPr="00A25C4D">
        <w:rPr>
          <w:lang w:val="mk-MK"/>
        </w:rPr>
        <w:lastRenderedPageBreak/>
        <w:t>Примена на горенаведените принципи во овој случај</w:t>
      </w:r>
    </w:p>
    <w:p w14:paraId="7333E19F" w14:textId="7E993E9F" w:rsidR="00795EF7" w:rsidRPr="00996776" w:rsidRDefault="00795EF7" w:rsidP="00A21C42">
      <w:pPr>
        <w:pStyle w:val="JuPara"/>
        <w:rPr>
          <w:rFonts w:cstheme="minorHAnsi"/>
          <w:color w:val="000000"/>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68</w:t>
      </w:r>
      <w:r w:rsidRPr="00996776">
        <w:rPr>
          <w:noProof/>
          <w:lang w:val="mk-MK"/>
        </w:rPr>
        <w:fldChar w:fldCharType="end"/>
      </w:r>
      <w:r w:rsidRPr="00996776">
        <w:rPr>
          <w:lang w:val="mk-MK"/>
        </w:rPr>
        <w:t>.  </w:t>
      </w:r>
      <w:r w:rsidR="00A25C4D" w:rsidRPr="00A25C4D">
        <w:rPr>
          <w:lang w:val="mk-MK"/>
        </w:rPr>
        <w:t xml:space="preserve">Судот забележува дека </w:t>
      </w:r>
      <w:r w:rsidR="0044064F">
        <w:rPr>
          <w:lang w:val="mk-MK"/>
        </w:rPr>
        <w:t>дејствија</w:t>
      </w:r>
      <w:r w:rsidR="00A25C4D" w:rsidRPr="00A25C4D">
        <w:rPr>
          <w:lang w:val="mk-MK"/>
        </w:rPr>
        <w:t xml:space="preserve">та кои Ѓ.К. се тврди дека </w:t>
      </w:r>
      <w:r w:rsidR="0044064F">
        <w:rPr>
          <w:lang w:val="mk-MK"/>
        </w:rPr>
        <w:t xml:space="preserve">ги </w:t>
      </w:r>
      <w:r w:rsidR="00A25C4D" w:rsidRPr="00A25C4D">
        <w:rPr>
          <w:lang w:val="mk-MK"/>
        </w:rPr>
        <w:t xml:space="preserve">извршил </w:t>
      </w:r>
      <w:r w:rsidR="0044064F">
        <w:rPr>
          <w:lang w:val="mk-MK"/>
        </w:rPr>
        <w:t>врз</w:t>
      </w:r>
      <w:r w:rsidR="00A25C4D" w:rsidRPr="00A25C4D">
        <w:rPr>
          <w:lang w:val="mk-MK"/>
        </w:rPr>
        <w:t xml:space="preserve"> апликантката, која во моментот имала 14 години, вклучил неконсензуален </w:t>
      </w:r>
      <w:r w:rsidR="0044064F">
        <w:rPr>
          <w:lang w:val="mk-MK"/>
        </w:rPr>
        <w:t>полов</w:t>
      </w:r>
      <w:r w:rsidR="00A25C4D" w:rsidRPr="00A25C4D">
        <w:rPr>
          <w:lang w:val="mk-MK"/>
        </w:rPr>
        <w:t xml:space="preserve"> физички контакт (допирање на нејзините гради, рамена и нога) придружен со изјави со </w:t>
      </w:r>
      <w:r w:rsidR="0044064F">
        <w:rPr>
          <w:lang w:val="mk-MK"/>
        </w:rPr>
        <w:t>полова</w:t>
      </w:r>
      <w:r w:rsidR="00A25C4D" w:rsidRPr="00A25C4D">
        <w:rPr>
          <w:lang w:val="mk-MK"/>
        </w:rPr>
        <w:t xml:space="preserve"> конотација. Тие </w:t>
      </w:r>
      <w:r w:rsidR="0044064F">
        <w:rPr>
          <w:lang w:val="mk-MK"/>
        </w:rPr>
        <w:t>дејствија</w:t>
      </w:r>
      <w:r w:rsidR="00A25C4D" w:rsidRPr="00A25C4D">
        <w:rPr>
          <w:lang w:val="mk-MK"/>
        </w:rPr>
        <w:t xml:space="preserve"> несомнено се однесувале на интимни аспекти од приватниот живот на </w:t>
      </w:r>
      <w:r w:rsidR="0044064F">
        <w:rPr>
          <w:lang w:val="mk-MK"/>
        </w:rPr>
        <w:t>апликантката</w:t>
      </w:r>
      <w:r w:rsidR="00A25C4D" w:rsidRPr="00A25C4D">
        <w:rPr>
          <w:lang w:val="mk-MK"/>
        </w:rPr>
        <w:t xml:space="preserve">. Изгледа дека по наводниот инцидент, на </w:t>
      </w:r>
      <w:r w:rsidR="0044064F">
        <w:rPr>
          <w:lang w:val="mk-MK"/>
        </w:rPr>
        <w:t>апликантката</w:t>
      </w:r>
      <w:r w:rsidR="0044064F" w:rsidRPr="00A25C4D">
        <w:rPr>
          <w:lang w:val="mk-MK"/>
        </w:rPr>
        <w:t xml:space="preserve"> </w:t>
      </w:r>
      <w:r w:rsidR="0044064F">
        <w:rPr>
          <w:lang w:val="mk-MK"/>
        </w:rPr>
        <w:t>и</w:t>
      </w:r>
      <w:r w:rsidR="00A25C4D" w:rsidRPr="00A25C4D">
        <w:rPr>
          <w:lang w:val="mk-MK"/>
        </w:rPr>
        <w:t xml:space="preserve"> бил даден медицински третман</w:t>
      </w:r>
      <w:r w:rsidR="0014125F">
        <w:rPr>
          <w:lang w:val="mk-MK"/>
        </w:rPr>
        <w:t>,</w:t>
      </w:r>
      <w:r w:rsidR="00A25C4D" w:rsidRPr="00A25C4D">
        <w:rPr>
          <w:lang w:val="mk-MK"/>
        </w:rPr>
        <w:t xml:space="preserve"> претрпел</w:t>
      </w:r>
      <w:r w:rsidR="0044064F">
        <w:rPr>
          <w:lang w:val="mk-MK"/>
        </w:rPr>
        <w:t>а</w:t>
      </w:r>
      <w:r w:rsidR="00A25C4D" w:rsidRPr="00A25C4D">
        <w:rPr>
          <w:lang w:val="mk-MK"/>
        </w:rPr>
        <w:t xml:space="preserve"> страв и </w:t>
      </w:r>
      <w:r w:rsidR="0044064F">
        <w:rPr>
          <w:lang w:val="mk-MK"/>
        </w:rPr>
        <w:t xml:space="preserve">била </w:t>
      </w:r>
      <w:r w:rsidR="00A25C4D" w:rsidRPr="00A25C4D">
        <w:rPr>
          <w:lang w:val="mk-MK"/>
        </w:rPr>
        <w:t>психолошки вознемирен</w:t>
      </w:r>
      <w:r w:rsidR="0044064F">
        <w:rPr>
          <w:lang w:val="mk-MK"/>
        </w:rPr>
        <w:t>а</w:t>
      </w:r>
      <w:r w:rsidR="00A25C4D" w:rsidRPr="00A25C4D">
        <w:rPr>
          <w:lang w:val="mk-MK"/>
        </w:rPr>
        <w:t xml:space="preserve"> (види </w:t>
      </w:r>
      <w:r w:rsidR="00902413">
        <w:rPr>
          <w:lang w:val="mk-MK"/>
        </w:rPr>
        <w:t>параграф</w:t>
      </w:r>
      <w:r w:rsidR="00902413">
        <w:rPr>
          <w:lang w:val="mk-MK"/>
        </w:rPr>
        <w:t xml:space="preserve">и </w:t>
      </w:r>
      <w:r w:rsidR="00A25C4D" w:rsidRPr="00A25C4D">
        <w:rPr>
          <w:lang w:val="mk-MK"/>
        </w:rPr>
        <w:t xml:space="preserve">7 и 10 погоре). Според тоа, Судот смета дека сериозноста на предметните </w:t>
      </w:r>
      <w:r w:rsidR="0044064F">
        <w:rPr>
          <w:lang w:val="mk-MK"/>
        </w:rPr>
        <w:t>дејствија</w:t>
      </w:r>
      <w:r w:rsidR="00A25C4D" w:rsidRPr="00A25C4D">
        <w:rPr>
          <w:lang w:val="mk-MK"/>
        </w:rPr>
        <w:t xml:space="preserve"> бара кривично-правен одговор (спореди</w:t>
      </w:r>
      <w:r w:rsidR="00A25C4D">
        <w:rPr>
          <w:lang w:val="mk-MK"/>
        </w:rPr>
        <w:t xml:space="preserve"> </w:t>
      </w:r>
      <w:r w:rsidRPr="00996776">
        <w:rPr>
          <w:i/>
          <w:iCs/>
          <w:lang w:val="mk-MK"/>
        </w:rPr>
        <w:t>A, B and C v. Latvia</w:t>
      </w:r>
      <w:r w:rsidRPr="00996776">
        <w:rPr>
          <w:lang w:val="mk-MK"/>
        </w:rPr>
        <w:t xml:space="preserve">, </w:t>
      </w:r>
      <w:r w:rsidR="00A25C4D" w:rsidRPr="00A25C4D">
        <w:rPr>
          <w:lang w:val="mk-MK"/>
        </w:rPr>
        <w:t xml:space="preserve">бр. 30808/11, § 160, 31 март 2016 година, во врска со малолетни девојчиња изложени голи пред возрасен маж кој ги масирал и ги допирал нивните интимни делови; и </w:t>
      </w:r>
      <w:r w:rsidR="0044064F">
        <w:rPr>
          <w:lang w:val="mk-MK"/>
        </w:rPr>
        <w:t>спореди</w:t>
      </w:r>
      <w:r w:rsidR="00A25C4D">
        <w:rPr>
          <w:lang w:val="mk-MK"/>
        </w:rPr>
        <w:t xml:space="preserve"> </w:t>
      </w:r>
      <w:r w:rsidRPr="00996776">
        <w:rPr>
          <w:rFonts w:cstheme="minorHAnsi"/>
          <w:i/>
          <w:iCs/>
          <w:color w:val="000000"/>
          <w:lang w:val="mk-MK"/>
        </w:rPr>
        <w:t>C. v. Romania</w:t>
      </w:r>
      <w:r w:rsidRPr="00996776">
        <w:rPr>
          <w:rFonts w:cstheme="minorHAnsi"/>
          <w:color w:val="000000"/>
          <w:lang w:val="mk-MK"/>
        </w:rPr>
        <w:t xml:space="preserve">, </w:t>
      </w:r>
      <w:r w:rsidR="00A25C4D">
        <w:rPr>
          <w:rFonts w:cstheme="minorHAnsi"/>
          <w:color w:val="000000"/>
          <w:lang w:val="mk-MK"/>
        </w:rPr>
        <w:t>бр</w:t>
      </w:r>
      <w:r w:rsidRPr="00996776">
        <w:rPr>
          <w:rFonts w:cstheme="minorHAnsi"/>
          <w:color w:val="000000"/>
          <w:lang w:val="mk-MK"/>
        </w:rPr>
        <w:t xml:space="preserve">. 47358/20, § 67, 30 </w:t>
      </w:r>
      <w:r w:rsidR="00A25C4D">
        <w:rPr>
          <w:rFonts w:cstheme="minorHAnsi"/>
          <w:color w:val="000000"/>
          <w:lang w:val="mk-MK"/>
        </w:rPr>
        <w:t>август</w:t>
      </w:r>
      <w:r w:rsidRPr="00996776">
        <w:rPr>
          <w:rFonts w:cstheme="minorHAnsi"/>
          <w:color w:val="000000"/>
          <w:lang w:val="mk-MK"/>
        </w:rPr>
        <w:t xml:space="preserve"> 2022</w:t>
      </w:r>
      <w:r w:rsidR="00A25C4D">
        <w:rPr>
          <w:rFonts w:cstheme="minorHAnsi"/>
          <w:color w:val="000000"/>
          <w:lang w:val="mk-MK"/>
        </w:rPr>
        <w:t xml:space="preserve"> година</w:t>
      </w:r>
      <w:r w:rsidRPr="00996776">
        <w:rPr>
          <w:rFonts w:cstheme="minorHAnsi"/>
          <w:color w:val="000000"/>
          <w:lang w:val="mk-MK"/>
        </w:rPr>
        <w:t xml:space="preserve">, </w:t>
      </w:r>
      <w:r w:rsidR="00A25C4D" w:rsidRPr="00A25C4D">
        <w:rPr>
          <w:rFonts w:cstheme="minorHAnsi"/>
          <w:color w:val="000000"/>
          <w:lang w:val="mk-MK"/>
        </w:rPr>
        <w:t xml:space="preserve">што се однесуваше на </w:t>
      </w:r>
      <w:r w:rsidR="0044064F">
        <w:rPr>
          <w:rFonts w:cstheme="minorHAnsi"/>
          <w:color w:val="000000"/>
          <w:lang w:val="mk-MK"/>
        </w:rPr>
        <w:t>полово</w:t>
      </w:r>
      <w:r w:rsidR="00A25C4D" w:rsidRPr="00A25C4D">
        <w:rPr>
          <w:rFonts w:cstheme="minorHAnsi"/>
          <w:color w:val="000000"/>
          <w:lang w:val="mk-MK"/>
        </w:rPr>
        <w:t xml:space="preserve"> вознемирување на возрасно лице на работното место, кое не вклучува физички контакт со интимни делови од телото). Судот, исто така, забележува дека УНИЦЕФ ја истакнал зголемената ранливост на адолесцентите на </w:t>
      </w:r>
      <w:r w:rsidR="0044064F">
        <w:rPr>
          <w:rFonts w:cstheme="minorHAnsi"/>
          <w:color w:val="000000"/>
          <w:lang w:val="mk-MK"/>
        </w:rPr>
        <w:t>полова</w:t>
      </w:r>
      <w:r w:rsidR="00A25C4D" w:rsidRPr="00A25C4D">
        <w:rPr>
          <w:rFonts w:cstheme="minorHAnsi"/>
          <w:color w:val="000000"/>
          <w:lang w:val="mk-MK"/>
        </w:rPr>
        <w:t xml:space="preserve"> виктимизација (види </w:t>
      </w:r>
      <w:r w:rsidR="00902413">
        <w:rPr>
          <w:lang w:val="mk-MK"/>
        </w:rPr>
        <w:t>параграф</w:t>
      </w:r>
      <w:r w:rsidR="00902413" w:rsidRPr="00996776">
        <w:rPr>
          <w:lang w:val="mk-MK"/>
        </w:rPr>
        <w:t xml:space="preserve"> </w:t>
      </w:r>
      <w:r w:rsidR="00A25C4D" w:rsidRPr="00A25C4D">
        <w:rPr>
          <w:rFonts w:cstheme="minorHAnsi"/>
          <w:color w:val="000000"/>
          <w:lang w:val="mk-MK"/>
        </w:rPr>
        <w:t>36 погоре).</w:t>
      </w:r>
    </w:p>
    <w:p w14:paraId="28637877" w14:textId="47FB1579"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69</w:t>
      </w:r>
      <w:r w:rsidRPr="00996776">
        <w:rPr>
          <w:noProof/>
          <w:lang w:val="mk-MK"/>
        </w:rPr>
        <w:fldChar w:fldCharType="end"/>
      </w:r>
      <w:r w:rsidRPr="00996776">
        <w:rPr>
          <w:lang w:val="mk-MK"/>
        </w:rPr>
        <w:t>.  </w:t>
      </w:r>
      <w:r w:rsidR="00A25C4D" w:rsidRPr="00A25C4D">
        <w:rPr>
          <w:lang w:val="mk-MK"/>
        </w:rPr>
        <w:t>Во врска со ова, Судот забележува дека согласно член 36 од Истанбулската конвенција, секо</w:t>
      </w:r>
      <w:r w:rsidR="0044064F">
        <w:rPr>
          <w:lang w:val="mk-MK"/>
        </w:rPr>
        <w:t>е</w:t>
      </w:r>
      <w:r w:rsidR="00A25C4D" w:rsidRPr="00A25C4D">
        <w:rPr>
          <w:lang w:val="mk-MK"/>
        </w:rPr>
        <w:t xml:space="preserve"> намер</w:t>
      </w:r>
      <w:r w:rsidR="0044064F">
        <w:rPr>
          <w:lang w:val="mk-MK"/>
        </w:rPr>
        <w:t>но</w:t>
      </w:r>
      <w:r w:rsidR="00A25C4D" w:rsidRPr="00A25C4D">
        <w:rPr>
          <w:lang w:val="mk-MK"/>
        </w:rPr>
        <w:t xml:space="preserve"> </w:t>
      </w:r>
      <w:r w:rsidR="0044064F">
        <w:rPr>
          <w:lang w:val="mk-MK"/>
        </w:rPr>
        <w:t>полово дејствие</w:t>
      </w:r>
      <w:r w:rsidR="00A25C4D" w:rsidRPr="00A25C4D">
        <w:rPr>
          <w:lang w:val="mk-MK"/>
        </w:rPr>
        <w:t xml:space="preserve"> извршен</w:t>
      </w:r>
      <w:r w:rsidR="0044064F">
        <w:rPr>
          <w:lang w:val="mk-MK"/>
        </w:rPr>
        <w:t>о</w:t>
      </w:r>
      <w:r w:rsidR="00A25C4D" w:rsidRPr="00A25C4D">
        <w:rPr>
          <w:lang w:val="mk-MK"/>
        </w:rPr>
        <w:t xml:space="preserve"> врз друго лице, без согласност, претставува „</w:t>
      </w:r>
      <w:r w:rsidR="0044064F">
        <w:rPr>
          <w:lang w:val="mk-MK"/>
        </w:rPr>
        <w:t>полово</w:t>
      </w:r>
      <w:r w:rsidR="00A25C4D" w:rsidRPr="00A25C4D">
        <w:rPr>
          <w:lang w:val="mk-MK"/>
        </w:rPr>
        <w:t xml:space="preserve"> насилство“ и треба да биде криминализиран (види </w:t>
      </w:r>
      <w:r w:rsidR="00902413">
        <w:rPr>
          <w:lang w:val="mk-MK"/>
        </w:rPr>
        <w:t>параграф</w:t>
      </w:r>
      <w:r w:rsidR="00902413">
        <w:rPr>
          <w:lang w:val="mk-MK"/>
        </w:rPr>
        <w:t xml:space="preserve">и </w:t>
      </w:r>
      <w:r w:rsidR="00A25C4D" w:rsidRPr="00A25C4D">
        <w:rPr>
          <w:lang w:val="mk-MK"/>
        </w:rPr>
        <w:t xml:space="preserve">41 и 42 погоре). Во времето на наводниот инцидент, Истанбулската конвенција сè уште не стапила во сила во однос на тужената држава. Ова барање е исто така нагласено во Објаснувачките извештаи за Конвенцијата Ланзароте и Конвенцијата на Истанбул (види </w:t>
      </w:r>
      <w:r w:rsidR="00902413">
        <w:rPr>
          <w:lang w:val="mk-MK"/>
        </w:rPr>
        <w:t>параграф</w:t>
      </w:r>
      <w:r w:rsidR="00902413">
        <w:rPr>
          <w:lang w:val="mk-MK"/>
        </w:rPr>
        <w:t>и</w:t>
      </w:r>
      <w:r w:rsidR="00902413" w:rsidRPr="00996776">
        <w:rPr>
          <w:lang w:val="mk-MK"/>
        </w:rPr>
        <w:t xml:space="preserve"> </w:t>
      </w:r>
      <w:r w:rsidR="00A25C4D" w:rsidRPr="00A25C4D">
        <w:rPr>
          <w:lang w:val="mk-MK"/>
        </w:rPr>
        <w:t>38 и 42 погоре, во врска со</w:t>
      </w:r>
      <w:r w:rsidR="00A25C4D">
        <w:rPr>
          <w:lang w:val="mk-MK"/>
        </w:rPr>
        <w:t xml:space="preserve"> </w:t>
      </w:r>
      <w:r w:rsidRPr="00996776">
        <w:rPr>
          <w:i/>
          <w:iCs/>
          <w:lang w:val="mk-MK"/>
        </w:rPr>
        <w:t>M.C. v. Bulgaria</w:t>
      </w:r>
      <w:r w:rsidRPr="00996776">
        <w:rPr>
          <w:lang w:val="mk-MK"/>
        </w:rPr>
        <w:t xml:space="preserve">, </w:t>
      </w:r>
      <w:r w:rsidR="00A25C4D" w:rsidRPr="00A25C4D">
        <w:rPr>
          <w:lang w:val="mk-MK"/>
        </w:rPr>
        <w:t>цитирана погоре, § 166). Дополнително, уште во 2005 година, Комитетот на министри на Советот на Европа препорача земјите</w:t>
      </w:r>
      <w:r w:rsidR="0044064F">
        <w:rPr>
          <w:lang w:val="mk-MK"/>
        </w:rPr>
        <w:t xml:space="preserve"> </w:t>
      </w:r>
      <w:r w:rsidR="00A25C4D" w:rsidRPr="00A25C4D">
        <w:rPr>
          <w:lang w:val="mk-MK"/>
        </w:rPr>
        <w:t>членки да го криминализираат секо</w:t>
      </w:r>
      <w:r w:rsidR="0044064F">
        <w:rPr>
          <w:lang w:val="mk-MK"/>
        </w:rPr>
        <w:t xml:space="preserve">е полово дејствие </w:t>
      </w:r>
      <w:r w:rsidR="00A25C4D" w:rsidRPr="00A25C4D">
        <w:rPr>
          <w:lang w:val="mk-MK"/>
        </w:rPr>
        <w:t>извршен</w:t>
      </w:r>
      <w:r w:rsidR="0044064F">
        <w:rPr>
          <w:lang w:val="mk-MK"/>
        </w:rPr>
        <w:t>о</w:t>
      </w:r>
      <w:r w:rsidR="00A25C4D" w:rsidRPr="00A25C4D">
        <w:rPr>
          <w:lang w:val="mk-MK"/>
        </w:rPr>
        <w:t xml:space="preserve"> врз лица кои не се согласуваат, а до 2010 година повеќето од нив го сторија тоа (види </w:t>
      </w:r>
      <w:r w:rsidR="00902413">
        <w:rPr>
          <w:lang w:val="mk-MK"/>
        </w:rPr>
        <w:t>параграф</w:t>
      </w:r>
      <w:r w:rsidR="00902413">
        <w:rPr>
          <w:lang w:val="mk-MK"/>
        </w:rPr>
        <w:t xml:space="preserve">и </w:t>
      </w:r>
      <w:r w:rsidR="00A25C4D" w:rsidRPr="00A25C4D">
        <w:rPr>
          <w:lang w:val="mk-MK"/>
        </w:rPr>
        <w:t>39 и 40 погоре)</w:t>
      </w:r>
      <w:r w:rsidRPr="00996776">
        <w:rPr>
          <w:lang w:val="mk-MK"/>
        </w:rPr>
        <w:t>.</w:t>
      </w:r>
    </w:p>
    <w:bookmarkStart w:id="48" w:name="_cl20026THELAW"/>
    <w:p w14:paraId="0B112FB2" w14:textId="7F72874B" w:rsidR="00795EF7" w:rsidRPr="00996776" w:rsidRDefault="00000000" w:rsidP="00A21C42">
      <w:pPr>
        <w:pStyle w:val="JuPara"/>
        <w:rPr>
          <w:rFonts w:ascii="Arial" w:hAnsi="Arial" w:cs="Arial"/>
          <w:color w:val="000000"/>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00A21C42" w:rsidRPr="00996776">
        <w:rPr>
          <w:noProof/>
          <w:lang w:val="mk-MK"/>
        </w:rPr>
        <w:t>70</w:t>
      </w:r>
      <w:r w:rsidRPr="00996776">
        <w:rPr>
          <w:lang w:val="mk-MK"/>
        </w:rPr>
        <w:fldChar w:fldCharType="end"/>
      </w:r>
      <w:r w:rsidRPr="00996776">
        <w:rPr>
          <w:lang w:val="mk-MK"/>
        </w:rPr>
        <w:t>.  </w:t>
      </w:r>
      <w:r w:rsidR="00A25C4D" w:rsidRPr="00A25C4D">
        <w:rPr>
          <w:lang w:val="mk-MK"/>
        </w:rPr>
        <w:t xml:space="preserve">Осврнувајќи се на домашната казнено-правна рамка применлива во моментот, Судот забележува дека тој ги казнил „другите </w:t>
      </w:r>
      <w:r w:rsidR="0044064F">
        <w:rPr>
          <w:lang w:val="mk-MK"/>
        </w:rPr>
        <w:t>полови</w:t>
      </w:r>
      <w:r w:rsidR="00A25C4D" w:rsidRPr="00A25C4D">
        <w:rPr>
          <w:lang w:val="mk-MK"/>
        </w:rPr>
        <w:t xml:space="preserve"> дејствија“ кои не претставуваат силување, само ако тие биле извршени со сила или закана (види член 186 став 4 во врска со член 186 ставови 1 и 3 од Кривичниот законик, наведени во </w:t>
      </w:r>
      <w:r w:rsidR="00902413">
        <w:rPr>
          <w:lang w:val="mk-MK"/>
        </w:rPr>
        <w:t>параграф</w:t>
      </w:r>
      <w:r w:rsidR="00902413">
        <w:rPr>
          <w:lang w:val="mk-MK"/>
        </w:rPr>
        <w:t>от</w:t>
      </w:r>
      <w:r w:rsidR="00902413" w:rsidRPr="00996776">
        <w:rPr>
          <w:lang w:val="mk-MK"/>
        </w:rPr>
        <w:t xml:space="preserve"> </w:t>
      </w:r>
      <w:r w:rsidR="00A25C4D" w:rsidRPr="00A25C4D">
        <w:rPr>
          <w:lang w:val="mk-MK"/>
        </w:rPr>
        <w:t xml:space="preserve">горе). </w:t>
      </w:r>
      <w:r w:rsidR="0044064F">
        <w:rPr>
          <w:lang w:val="mk-MK"/>
        </w:rPr>
        <w:t>И</w:t>
      </w:r>
      <w:r w:rsidR="00A25C4D" w:rsidRPr="00A25C4D">
        <w:rPr>
          <w:lang w:val="mk-MK"/>
        </w:rPr>
        <w:t xml:space="preserve">сто така, ги криминализираше „другите </w:t>
      </w:r>
      <w:r w:rsidR="0044064F">
        <w:rPr>
          <w:lang w:val="mk-MK"/>
        </w:rPr>
        <w:t>полови</w:t>
      </w:r>
      <w:r w:rsidR="00A25C4D" w:rsidRPr="00A25C4D">
        <w:rPr>
          <w:lang w:val="mk-MK"/>
        </w:rPr>
        <w:t xml:space="preserve"> дејствија“ врз малолетници, но само доколку тие се на возраст под 14 години (види член 188 од Кривичниот законик, наведен во </w:t>
      </w:r>
      <w:r w:rsidR="00902413">
        <w:rPr>
          <w:lang w:val="mk-MK"/>
        </w:rPr>
        <w:t>параграф</w:t>
      </w:r>
      <w:r w:rsidR="00902413" w:rsidRPr="00996776">
        <w:rPr>
          <w:lang w:val="mk-MK"/>
        </w:rPr>
        <w:t xml:space="preserve"> </w:t>
      </w:r>
      <w:r w:rsidR="00A25C4D" w:rsidRPr="00A25C4D">
        <w:rPr>
          <w:lang w:val="mk-MK"/>
        </w:rPr>
        <w:t xml:space="preserve">22 погоре). Судот не може, а да не заклучи дека важечката казнено-правна рамка не нуди никаква заштита од несогласни </w:t>
      </w:r>
      <w:r w:rsidR="0044064F">
        <w:rPr>
          <w:lang w:val="mk-MK"/>
        </w:rPr>
        <w:t>полови</w:t>
      </w:r>
      <w:r w:rsidR="00A25C4D" w:rsidRPr="00A25C4D">
        <w:rPr>
          <w:lang w:val="mk-MK"/>
        </w:rPr>
        <w:t xml:space="preserve"> дејствија извршени, без употреба на сила или закани, врз лице кое наполнило 14 години, како што беше случајот со </w:t>
      </w:r>
      <w:r w:rsidR="0044064F">
        <w:rPr>
          <w:lang w:val="mk-MK"/>
        </w:rPr>
        <w:t>апликантката</w:t>
      </w:r>
      <w:r w:rsidR="00A25C4D" w:rsidRPr="00A25C4D">
        <w:rPr>
          <w:lang w:val="mk-MK"/>
        </w:rPr>
        <w:t xml:space="preserve">. Ова е во согласност со наодот на обвинителот дека </w:t>
      </w:r>
      <w:r w:rsidR="0044064F">
        <w:rPr>
          <w:lang w:val="mk-MK"/>
        </w:rPr>
        <w:t>дејствија</w:t>
      </w:r>
      <w:r w:rsidR="00A25C4D" w:rsidRPr="00A25C4D">
        <w:rPr>
          <w:lang w:val="mk-MK"/>
        </w:rPr>
        <w:t xml:space="preserve">та наводно извршени од Ѓ.К. </w:t>
      </w:r>
      <w:r w:rsidR="0044064F">
        <w:rPr>
          <w:lang w:val="mk-MK"/>
        </w:rPr>
        <w:t>врз</w:t>
      </w:r>
      <w:r w:rsidR="00A25C4D" w:rsidRPr="00A25C4D">
        <w:rPr>
          <w:lang w:val="mk-MK"/>
        </w:rPr>
        <w:t xml:space="preserve"> </w:t>
      </w:r>
      <w:r w:rsidR="0044064F">
        <w:rPr>
          <w:lang w:val="mk-MK"/>
        </w:rPr>
        <w:t>апликантката</w:t>
      </w:r>
      <w:r w:rsidR="00A25C4D" w:rsidRPr="00A25C4D">
        <w:rPr>
          <w:lang w:val="mk-MK"/>
        </w:rPr>
        <w:t xml:space="preserve"> не биле </w:t>
      </w:r>
      <w:r w:rsidR="00A25C4D" w:rsidRPr="00A25C4D">
        <w:rPr>
          <w:lang w:val="mk-MK"/>
        </w:rPr>
        <w:lastRenderedPageBreak/>
        <w:t xml:space="preserve">опфатени со никакво друго јавно кривично </w:t>
      </w:r>
      <w:r w:rsidR="0044064F">
        <w:rPr>
          <w:lang w:val="mk-MK"/>
        </w:rPr>
        <w:t xml:space="preserve">дело за </w:t>
      </w:r>
      <w:r w:rsidR="00A25C4D" w:rsidRPr="00A25C4D">
        <w:rPr>
          <w:lang w:val="mk-MK"/>
        </w:rPr>
        <w:t>гон</w:t>
      </w:r>
      <w:r w:rsidR="0044064F">
        <w:rPr>
          <w:lang w:val="mk-MK"/>
        </w:rPr>
        <w:t>ење</w:t>
      </w:r>
      <w:r w:rsidR="00A25C4D" w:rsidRPr="00A25C4D">
        <w:rPr>
          <w:lang w:val="mk-MK"/>
        </w:rPr>
        <w:t xml:space="preserve"> (види </w:t>
      </w:r>
      <w:r w:rsidR="00902413">
        <w:rPr>
          <w:lang w:val="mk-MK"/>
        </w:rPr>
        <w:t>параграф</w:t>
      </w:r>
      <w:r w:rsidR="00902413" w:rsidRPr="00996776">
        <w:rPr>
          <w:lang w:val="mk-MK"/>
        </w:rPr>
        <w:t xml:space="preserve"> </w:t>
      </w:r>
      <w:r w:rsidR="00A25C4D" w:rsidRPr="00A25C4D">
        <w:rPr>
          <w:lang w:val="mk-MK"/>
        </w:rPr>
        <w:t>9 погоре), а Владата тврди дека тие</w:t>
      </w:r>
      <w:r w:rsidR="0044064F">
        <w:rPr>
          <w:lang w:val="mk-MK"/>
        </w:rPr>
        <w:t xml:space="preserve"> не</w:t>
      </w:r>
      <w:r w:rsidR="00A25C4D" w:rsidRPr="00A25C4D">
        <w:rPr>
          <w:lang w:val="mk-MK"/>
        </w:rPr>
        <w:t xml:space="preserve"> биле опфатени со какво било </w:t>
      </w:r>
      <w:r w:rsidR="0044064F">
        <w:rPr>
          <w:lang w:val="mk-MK"/>
        </w:rPr>
        <w:t>приватно</w:t>
      </w:r>
      <w:r w:rsidR="00A25C4D" w:rsidRPr="00A25C4D">
        <w:rPr>
          <w:lang w:val="mk-MK"/>
        </w:rPr>
        <w:t xml:space="preserve"> кривично дело</w:t>
      </w:r>
      <w:r w:rsidR="0044064F">
        <w:rPr>
          <w:lang w:val="mk-MK"/>
        </w:rPr>
        <w:t xml:space="preserve"> за гонење</w:t>
      </w:r>
      <w:r w:rsidRPr="00996776">
        <w:rPr>
          <w:lang w:val="mk-MK"/>
        </w:rPr>
        <w:t>.</w:t>
      </w:r>
    </w:p>
    <w:p w14:paraId="2D5F7790" w14:textId="70687647" w:rsidR="00795EF7" w:rsidRPr="00996776" w:rsidRDefault="00795EF7" w:rsidP="00A21C42">
      <w:pPr>
        <w:pStyle w:val="JuPara"/>
        <w:rPr>
          <w:rFonts w:cstheme="minorHAnsi"/>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71</w:t>
      </w:r>
      <w:r w:rsidRPr="00996776">
        <w:rPr>
          <w:noProof/>
          <w:lang w:val="mk-MK"/>
        </w:rPr>
        <w:fldChar w:fldCharType="end"/>
      </w:r>
      <w:r w:rsidRPr="00996776">
        <w:rPr>
          <w:lang w:val="mk-MK"/>
        </w:rPr>
        <w:t>.  </w:t>
      </w:r>
      <w:r w:rsidR="00A25C4D" w:rsidRPr="00A25C4D">
        <w:rPr>
          <w:lang w:val="mk-MK"/>
        </w:rPr>
        <w:t xml:space="preserve">Судот, исто така, го забележува последователното стапување во сила на Истанбулската конвенција во однос на тужената држава во 2018 година и измените направени на Кривичниот законик во февруари 2023 година, кои се чини дека ги криминализираат дејствијата како оние во конкретниот случај. Меѓутоа, со оглед на принципот </w:t>
      </w:r>
      <w:r w:rsidR="00A25C4D" w:rsidRPr="00A25C4D">
        <w:rPr>
          <w:i/>
          <w:iCs/>
          <w:lang w:val="mk-MK"/>
        </w:rPr>
        <w:t>nullum crimen sine lege</w:t>
      </w:r>
      <w:r w:rsidR="00A25C4D" w:rsidRPr="00A25C4D">
        <w:rPr>
          <w:lang w:val="mk-MK"/>
        </w:rPr>
        <w:t xml:space="preserve"> (види </w:t>
      </w:r>
      <w:r w:rsidR="00902413">
        <w:rPr>
          <w:lang w:val="mk-MK"/>
        </w:rPr>
        <w:t>параграф</w:t>
      </w:r>
      <w:r w:rsidR="00902413" w:rsidRPr="00996776">
        <w:rPr>
          <w:lang w:val="mk-MK"/>
        </w:rPr>
        <w:t xml:space="preserve"> </w:t>
      </w:r>
      <w:r w:rsidR="00A25C4D" w:rsidRPr="00A25C4D">
        <w:rPr>
          <w:lang w:val="mk-MK"/>
        </w:rPr>
        <w:t xml:space="preserve">16 погоре), се чини дека </w:t>
      </w:r>
      <w:r w:rsidR="0044064F">
        <w:rPr>
          <w:lang w:val="mk-MK"/>
        </w:rPr>
        <w:t>апликантката</w:t>
      </w:r>
      <w:r w:rsidR="00A25C4D" w:rsidRPr="00A25C4D">
        <w:rPr>
          <w:lang w:val="mk-MK"/>
        </w:rPr>
        <w:t xml:space="preserve"> не можел</w:t>
      </w:r>
      <w:r w:rsidR="006050DD">
        <w:rPr>
          <w:lang w:val="mk-MK"/>
        </w:rPr>
        <w:t>а</w:t>
      </w:r>
      <w:r w:rsidR="00A25C4D" w:rsidRPr="00A25C4D">
        <w:rPr>
          <w:lang w:val="mk-MK"/>
        </w:rPr>
        <w:t xml:space="preserve"> да се потпре на новото законодавство во врска со наводниот инцидент што се случил во 2013 година (спореди </w:t>
      </w:r>
      <w:r w:rsidR="00A25C4D" w:rsidRPr="00A25C4D">
        <w:rPr>
          <w:i/>
          <w:iCs/>
          <w:lang w:val="mk-MK"/>
        </w:rPr>
        <w:t>Söderman</w:t>
      </w:r>
      <w:r w:rsidR="00A25C4D" w:rsidRPr="00A25C4D">
        <w:rPr>
          <w:lang w:val="mk-MK"/>
        </w:rPr>
        <w:t>, цитиран погоре, § 107)</w:t>
      </w:r>
    </w:p>
    <w:p w14:paraId="427A961F" w14:textId="1A7B2E03" w:rsidR="00795EF7" w:rsidRPr="00996776" w:rsidRDefault="00000000" w:rsidP="00A21C42">
      <w:pPr>
        <w:pStyle w:val="JuPara"/>
        <w:rPr>
          <w:rFonts w:ascii="Arial" w:hAnsi="Arial" w:cs="Arial"/>
          <w:color w:val="000000"/>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bookmarkStart w:id="49" w:name="paragraph00074"/>
      <w:r w:rsidR="00A21C42" w:rsidRPr="00996776">
        <w:rPr>
          <w:rFonts w:cstheme="minorHAnsi"/>
          <w:noProof/>
          <w:lang w:val="mk-MK"/>
        </w:rPr>
        <w:t>72</w:t>
      </w:r>
      <w:bookmarkEnd w:id="49"/>
      <w:r w:rsidRPr="00996776">
        <w:rPr>
          <w:rFonts w:cstheme="minorHAnsi"/>
          <w:lang w:val="mk-MK"/>
        </w:rPr>
        <w:fldChar w:fldCharType="end"/>
      </w:r>
      <w:r w:rsidRPr="00996776">
        <w:rPr>
          <w:rFonts w:cstheme="minorHAnsi"/>
          <w:lang w:val="mk-MK"/>
        </w:rPr>
        <w:t>.  </w:t>
      </w:r>
      <w:r w:rsidR="00A25C4D" w:rsidRPr="00A25C4D">
        <w:rPr>
          <w:rFonts w:cstheme="minorHAnsi"/>
          <w:lang w:val="mk-MK"/>
        </w:rPr>
        <w:t xml:space="preserve">Следи дека домашната казнено-правна рамка која важеше во моментот не ја овозможи потребната заштита за правата на </w:t>
      </w:r>
      <w:r w:rsidR="006050DD">
        <w:rPr>
          <w:rFonts w:cstheme="minorHAnsi"/>
          <w:lang w:val="mk-MK"/>
        </w:rPr>
        <w:t>апликантката</w:t>
      </w:r>
      <w:r w:rsidR="00A25C4D" w:rsidRPr="00A25C4D">
        <w:rPr>
          <w:rFonts w:cstheme="minorHAnsi"/>
          <w:lang w:val="mk-MK"/>
        </w:rPr>
        <w:t xml:space="preserve"> според член 8 од Конвенцијата. Судот смета дека недостатокот на ефективен кривично-правен одговор на наводната </w:t>
      </w:r>
      <w:r w:rsidR="0044064F">
        <w:rPr>
          <w:rFonts w:cstheme="minorHAnsi"/>
          <w:lang w:val="mk-MK"/>
        </w:rPr>
        <w:t>полова</w:t>
      </w:r>
      <w:r w:rsidR="00A25C4D" w:rsidRPr="00A25C4D">
        <w:rPr>
          <w:rFonts w:cstheme="minorHAnsi"/>
          <w:lang w:val="mk-MK"/>
        </w:rPr>
        <w:t xml:space="preserve"> злоупотреба, што резултираше со отфрлање на кривичната пријава на </w:t>
      </w:r>
      <w:r w:rsidR="006050DD">
        <w:rPr>
          <w:rFonts w:cstheme="minorHAnsi"/>
          <w:lang w:val="mk-MK"/>
        </w:rPr>
        <w:t>апликантката</w:t>
      </w:r>
      <w:r w:rsidR="00A25C4D" w:rsidRPr="00A25C4D">
        <w:rPr>
          <w:rFonts w:cstheme="minorHAnsi"/>
          <w:lang w:val="mk-MK"/>
        </w:rPr>
        <w:t xml:space="preserve">, не соодветствуваше на потребното почитување на најдобриот интерес на детето (види </w:t>
      </w:r>
      <w:r w:rsidR="00902413">
        <w:rPr>
          <w:lang w:val="mk-MK"/>
        </w:rPr>
        <w:t>параграф</w:t>
      </w:r>
      <w:r w:rsidR="00902413" w:rsidRPr="00996776">
        <w:rPr>
          <w:lang w:val="mk-MK"/>
        </w:rPr>
        <w:t xml:space="preserve"> </w:t>
      </w:r>
      <w:r w:rsidR="00A25C4D" w:rsidRPr="00A25C4D">
        <w:rPr>
          <w:rFonts w:cstheme="minorHAnsi"/>
          <w:lang w:val="mk-MK"/>
        </w:rPr>
        <w:t>67 погоре</w:t>
      </w:r>
      <w:r w:rsidRPr="00996776">
        <w:rPr>
          <w:rFonts w:cstheme="minorHAnsi"/>
          <w:color w:val="000000"/>
          <w:lang w:val="mk-MK"/>
        </w:rPr>
        <w:t>).</w:t>
      </w:r>
    </w:p>
    <w:p w14:paraId="73DDEFB0" w14:textId="2540FF0D" w:rsidR="00795EF7" w:rsidRPr="00DA0A65" w:rsidRDefault="00795EF7" w:rsidP="00A21C42">
      <w:pPr>
        <w:pStyle w:val="JuPara"/>
        <w:rPr>
          <w:rFonts w:cstheme="minorHAnsi"/>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73</w:t>
      </w:r>
      <w:r w:rsidRPr="00996776">
        <w:rPr>
          <w:noProof/>
          <w:lang w:val="mk-MK"/>
        </w:rPr>
        <w:fldChar w:fldCharType="end"/>
      </w:r>
      <w:bookmarkEnd w:id="48"/>
      <w:r w:rsidRPr="00996776">
        <w:rPr>
          <w:lang w:val="mk-MK"/>
        </w:rPr>
        <w:t>.  </w:t>
      </w:r>
      <w:r w:rsidR="00A25C4D" w:rsidRPr="00A25C4D">
        <w:rPr>
          <w:lang w:val="mk-MK"/>
        </w:rPr>
        <w:t xml:space="preserve">Судот понатаму забележува дека жалбата на </w:t>
      </w:r>
      <w:r w:rsidR="0044064F">
        <w:rPr>
          <w:lang w:val="mk-MK"/>
        </w:rPr>
        <w:t>апликантката</w:t>
      </w:r>
      <w:r w:rsidR="00A25C4D" w:rsidRPr="00A25C4D">
        <w:rPr>
          <w:lang w:val="mk-MK"/>
        </w:rPr>
        <w:t xml:space="preserve"> се однесува и на домашниот граѓанско-правен одговор на </w:t>
      </w:r>
      <w:r w:rsidR="0044064F">
        <w:rPr>
          <w:lang w:val="mk-MK"/>
        </w:rPr>
        <w:t>дејствија</w:t>
      </w:r>
      <w:r w:rsidR="00A25C4D" w:rsidRPr="00A25C4D">
        <w:rPr>
          <w:lang w:val="mk-MK"/>
        </w:rPr>
        <w:t xml:space="preserve">та наводно извршени од Ѓ.К. Повторувајќи дека обврската според член 8 за заштита на физичкиот интегритет на поединецот може да се прошири и на прашањата кои се однесуваат на можноста за репарација и надомест на штета (види </w:t>
      </w:r>
      <w:r w:rsidR="00902413">
        <w:rPr>
          <w:lang w:val="mk-MK"/>
        </w:rPr>
        <w:t>параграф</w:t>
      </w:r>
      <w:r w:rsidR="00902413" w:rsidRPr="00996776">
        <w:rPr>
          <w:lang w:val="mk-MK"/>
        </w:rPr>
        <w:t xml:space="preserve"> </w:t>
      </w:r>
      <w:r w:rsidR="00A25C4D" w:rsidRPr="00A25C4D">
        <w:rPr>
          <w:lang w:val="mk-MK"/>
        </w:rPr>
        <w:t xml:space="preserve">67 погоре), Судот смета дека, </w:t>
      </w:r>
      <w:r w:rsidR="006050DD" w:rsidRPr="006050DD">
        <w:rPr>
          <w:lang w:val="mk-MK"/>
        </w:rPr>
        <w:t xml:space="preserve">во многу конкретни околности на овој случај, исто така мора да оцени дали достапните домашни </w:t>
      </w:r>
      <w:r w:rsidR="006050DD" w:rsidRPr="00A25C4D">
        <w:rPr>
          <w:lang w:val="mk-MK"/>
        </w:rPr>
        <w:t>граѓанско</w:t>
      </w:r>
      <w:r w:rsidR="006050DD" w:rsidRPr="006050DD">
        <w:rPr>
          <w:lang w:val="mk-MK"/>
        </w:rPr>
        <w:t xml:space="preserve"> правни лекови, како што се применуваат во пракса од домашните судови, му дале доволна заштита на </w:t>
      </w:r>
      <w:r w:rsidR="006050DD">
        <w:rPr>
          <w:lang w:val="mk-MK"/>
        </w:rPr>
        <w:t>апликантката</w:t>
      </w:r>
      <w:r w:rsidR="006050DD" w:rsidRPr="006050DD">
        <w:rPr>
          <w:lang w:val="mk-MK"/>
        </w:rPr>
        <w:t xml:space="preserve"> во однос на тие наводни </w:t>
      </w:r>
      <w:r w:rsidR="006050DD">
        <w:rPr>
          <w:lang w:val="mk-MK"/>
        </w:rPr>
        <w:t>дејствија</w:t>
      </w:r>
      <w:r w:rsidRPr="00996776">
        <w:rPr>
          <w:rFonts w:cstheme="minorHAnsi"/>
          <w:lang w:val="mk-MK"/>
        </w:rPr>
        <w:t>.</w:t>
      </w:r>
    </w:p>
    <w:p w14:paraId="24411745" w14:textId="03367825" w:rsidR="00795EF7" w:rsidRPr="00996776" w:rsidRDefault="00000000" w:rsidP="00A21C42">
      <w:pPr>
        <w:pStyle w:val="JuPara"/>
        <w:rPr>
          <w:rFonts w:cstheme="minorHAnsi"/>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r w:rsidR="00A21C42" w:rsidRPr="00996776">
        <w:rPr>
          <w:rFonts w:cstheme="minorHAnsi"/>
          <w:noProof/>
          <w:lang w:val="mk-MK"/>
        </w:rPr>
        <w:t>74</w:t>
      </w:r>
      <w:r w:rsidRPr="00996776">
        <w:rPr>
          <w:rFonts w:cstheme="minorHAnsi"/>
          <w:lang w:val="mk-MK"/>
        </w:rPr>
        <w:fldChar w:fldCharType="end"/>
      </w:r>
      <w:r w:rsidRPr="00996776">
        <w:rPr>
          <w:rFonts w:cstheme="minorHAnsi"/>
          <w:lang w:val="mk-MK"/>
        </w:rPr>
        <w:t>.  </w:t>
      </w:r>
      <w:r w:rsidR="00A25C4D" w:rsidRPr="00A25C4D">
        <w:rPr>
          <w:rFonts w:cstheme="minorHAnsi"/>
          <w:lang w:val="mk-MK"/>
        </w:rPr>
        <w:t xml:space="preserve">Во врска со ова, Судот прво забележува дека домашните граѓански судови го отфрлиле барањето за компензација на апликантката, како и нејзиното барање Ѓ.К. да биде одговорен за навреда. Откриле дека </w:t>
      </w:r>
      <w:r w:rsidR="0044064F">
        <w:rPr>
          <w:rFonts w:cstheme="minorHAnsi"/>
          <w:lang w:val="mk-MK"/>
        </w:rPr>
        <w:t>дејствија</w:t>
      </w:r>
      <w:r w:rsidR="00A25C4D" w:rsidRPr="00A25C4D">
        <w:rPr>
          <w:rFonts w:cstheme="minorHAnsi"/>
          <w:lang w:val="mk-MK"/>
        </w:rPr>
        <w:t>та кои наводно ги извршил Ѓ.К. не претставува</w:t>
      </w:r>
      <w:r w:rsidR="006050DD">
        <w:rPr>
          <w:rFonts w:cstheme="minorHAnsi"/>
          <w:lang w:val="mk-MK"/>
        </w:rPr>
        <w:t>ат</w:t>
      </w:r>
      <w:r w:rsidR="00A25C4D" w:rsidRPr="00A25C4D">
        <w:rPr>
          <w:rFonts w:cstheme="minorHAnsi"/>
          <w:lang w:val="mk-MK"/>
        </w:rPr>
        <w:t xml:space="preserve"> навреда во смисла на член 6 од </w:t>
      </w:r>
      <w:r w:rsidR="006244FD" w:rsidRPr="00996776">
        <w:rPr>
          <w:lang w:val="mk-MK"/>
        </w:rPr>
        <w:t>Закон</w:t>
      </w:r>
      <w:r w:rsidR="006244FD">
        <w:rPr>
          <w:lang w:val="mk-MK"/>
        </w:rPr>
        <w:t>от</w:t>
      </w:r>
      <w:r w:rsidR="006244FD" w:rsidRPr="00996776">
        <w:rPr>
          <w:lang w:val="mk-MK"/>
        </w:rPr>
        <w:t xml:space="preserve"> за граѓанска одговорност за навреда и клевета</w:t>
      </w:r>
      <w:r w:rsidR="006244FD">
        <w:rPr>
          <w:lang w:val="mk-MK"/>
        </w:rPr>
        <w:t xml:space="preserve">. </w:t>
      </w:r>
      <w:r w:rsidR="00A25C4D" w:rsidRPr="00A25C4D">
        <w:rPr>
          <w:rFonts w:cstheme="minorHAnsi"/>
          <w:lang w:val="mk-MK"/>
        </w:rPr>
        <w:t xml:space="preserve">Затоа, граѓанскиот правен лек според тој Закон, како што го толкуваат судовите во случајот на </w:t>
      </w:r>
      <w:r w:rsidR="006050DD">
        <w:rPr>
          <w:rFonts w:cstheme="minorHAnsi"/>
          <w:lang w:val="mk-MK"/>
        </w:rPr>
        <w:t>апликантката</w:t>
      </w:r>
      <w:r w:rsidR="00A25C4D" w:rsidRPr="00A25C4D">
        <w:rPr>
          <w:rFonts w:cstheme="minorHAnsi"/>
          <w:lang w:val="mk-MK"/>
        </w:rPr>
        <w:t xml:space="preserve">, не ѝ овозможил заштита од тие наводни </w:t>
      </w:r>
      <w:r w:rsidR="0044064F">
        <w:rPr>
          <w:rFonts w:cstheme="minorHAnsi"/>
          <w:lang w:val="mk-MK"/>
        </w:rPr>
        <w:t>дејствија</w:t>
      </w:r>
      <w:r w:rsidRPr="00996776">
        <w:rPr>
          <w:rFonts w:cstheme="minorHAnsi"/>
          <w:lang w:val="mk-MK"/>
        </w:rPr>
        <w:t>.</w:t>
      </w:r>
    </w:p>
    <w:p w14:paraId="70266DEE" w14:textId="4BEB8A7E" w:rsidR="00795EF7" w:rsidRPr="00996776" w:rsidRDefault="00000000" w:rsidP="00A21C42">
      <w:pPr>
        <w:pStyle w:val="JuPara"/>
        <w:rPr>
          <w:rFonts w:cstheme="minorHAnsi"/>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r w:rsidR="00A21C42" w:rsidRPr="00996776">
        <w:rPr>
          <w:rFonts w:cstheme="minorHAnsi"/>
          <w:noProof/>
          <w:lang w:val="mk-MK"/>
        </w:rPr>
        <w:t>75</w:t>
      </w:r>
      <w:r w:rsidRPr="00996776">
        <w:rPr>
          <w:rFonts w:cstheme="minorHAnsi"/>
          <w:lang w:val="mk-MK"/>
        </w:rPr>
        <w:fldChar w:fldCharType="end"/>
      </w:r>
      <w:r w:rsidRPr="00996776">
        <w:rPr>
          <w:rFonts w:cstheme="minorHAnsi"/>
          <w:lang w:val="mk-MK"/>
        </w:rPr>
        <w:t>.  </w:t>
      </w:r>
      <w:r w:rsidR="00A25C4D" w:rsidRPr="00A25C4D">
        <w:rPr>
          <w:rFonts w:cstheme="minorHAnsi"/>
          <w:lang w:val="mk-MK"/>
        </w:rPr>
        <w:t xml:space="preserve">Второ, во своите пресуди домашните судови го земаа предвид член 191 од Законот за облигациони односи (види </w:t>
      </w:r>
      <w:r w:rsidR="00902413">
        <w:rPr>
          <w:lang w:val="mk-MK"/>
        </w:rPr>
        <w:t>параграф</w:t>
      </w:r>
      <w:r w:rsidR="00902413">
        <w:rPr>
          <w:lang w:val="mk-MK"/>
        </w:rPr>
        <w:t>и</w:t>
      </w:r>
      <w:r w:rsidR="00902413" w:rsidRPr="00996776">
        <w:rPr>
          <w:lang w:val="mk-MK"/>
        </w:rPr>
        <w:t xml:space="preserve"> </w:t>
      </w:r>
      <w:r w:rsidR="00A25C4D" w:rsidRPr="00A25C4D">
        <w:rPr>
          <w:rFonts w:cstheme="minorHAnsi"/>
          <w:lang w:val="mk-MK"/>
        </w:rPr>
        <w:t xml:space="preserve">11 и 13 погоре), кој дозволува жртвата на кривично дело против неговата или нејзината </w:t>
      </w:r>
      <w:r w:rsidR="0044064F">
        <w:rPr>
          <w:rFonts w:cstheme="minorHAnsi"/>
          <w:lang w:val="mk-MK"/>
        </w:rPr>
        <w:t>полова</w:t>
      </w:r>
      <w:r w:rsidR="00A25C4D" w:rsidRPr="00A25C4D">
        <w:rPr>
          <w:rFonts w:cstheme="minorHAnsi"/>
          <w:lang w:val="mk-MK"/>
        </w:rPr>
        <w:t xml:space="preserve"> слобода, извршено по пат на измама, принудување или злоупотреба на односот на подреденост или зависност, да бара компензација (види </w:t>
      </w:r>
      <w:r w:rsidR="00902413">
        <w:rPr>
          <w:lang w:val="mk-MK"/>
        </w:rPr>
        <w:t>параграф</w:t>
      </w:r>
      <w:r w:rsidR="00902413" w:rsidRPr="00996776">
        <w:rPr>
          <w:lang w:val="mk-MK"/>
        </w:rPr>
        <w:t xml:space="preserve"> </w:t>
      </w:r>
      <w:r w:rsidR="00A25C4D" w:rsidRPr="00A25C4D">
        <w:rPr>
          <w:rFonts w:cstheme="minorHAnsi"/>
          <w:lang w:val="mk-MK"/>
        </w:rPr>
        <w:t xml:space="preserve">29 погоре). Меѓутоа, со оглед дека Ѓ.К. не бил осуден за такво кривично дело, се чини дека член 191 од Законот за </w:t>
      </w:r>
      <w:r w:rsidR="00A25C4D" w:rsidRPr="00A25C4D">
        <w:rPr>
          <w:rFonts w:cstheme="minorHAnsi"/>
          <w:lang w:val="mk-MK"/>
        </w:rPr>
        <w:lastRenderedPageBreak/>
        <w:t xml:space="preserve">облигациони односи не бил применлив за фактите на случајот на </w:t>
      </w:r>
      <w:r w:rsidR="006050DD">
        <w:rPr>
          <w:rFonts w:cstheme="minorHAnsi"/>
          <w:lang w:val="mk-MK"/>
        </w:rPr>
        <w:t>апликантката</w:t>
      </w:r>
      <w:r w:rsidR="00A25C4D" w:rsidRPr="00A25C4D">
        <w:rPr>
          <w:rFonts w:cstheme="minorHAnsi"/>
          <w:lang w:val="mk-MK"/>
        </w:rPr>
        <w:t xml:space="preserve"> (види, слично, </w:t>
      </w:r>
      <w:r w:rsidR="00A25C4D" w:rsidRPr="00A25C4D">
        <w:rPr>
          <w:rFonts w:cstheme="minorHAnsi"/>
          <w:i/>
          <w:iCs/>
          <w:lang w:val="mk-MK"/>
        </w:rPr>
        <w:t>Söderman</w:t>
      </w:r>
      <w:r w:rsidR="00A25C4D" w:rsidRPr="00A25C4D">
        <w:rPr>
          <w:rFonts w:cstheme="minorHAnsi"/>
          <w:lang w:val="mk-MK"/>
        </w:rPr>
        <w:t>, цитиран погоре, § 111).</w:t>
      </w:r>
    </w:p>
    <w:p w14:paraId="0D5448B0" w14:textId="0AE8BA3F" w:rsidR="00795EF7" w:rsidRPr="00996776" w:rsidRDefault="00000000" w:rsidP="00A21C42">
      <w:pPr>
        <w:pStyle w:val="JuPara"/>
        <w:rPr>
          <w:rFonts w:cstheme="minorHAnsi"/>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r w:rsidR="00A21C42" w:rsidRPr="00996776">
        <w:rPr>
          <w:rFonts w:cstheme="minorHAnsi"/>
          <w:noProof/>
          <w:lang w:val="mk-MK"/>
        </w:rPr>
        <w:t>76</w:t>
      </w:r>
      <w:r w:rsidRPr="00996776">
        <w:rPr>
          <w:rFonts w:cstheme="minorHAnsi"/>
          <w:lang w:val="mk-MK"/>
        </w:rPr>
        <w:fldChar w:fldCharType="end"/>
      </w:r>
      <w:r w:rsidRPr="00996776">
        <w:rPr>
          <w:rFonts w:cstheme="minorHAnsi"/>
          <w:lang w:val="mk-MK"/>
        </w:rPr>
        <w:t>.  </w:t>
      </w:r>
      <w:r w:rsidR="00A25C4D" w:rsidRPr="00A25C4D">
        <w:rPr>
          <w:rFonts w:cstheme="minorHAnsi"/>
          <w:lang w:val="mk-MK"/>
        </w:rPr>
        <w:t xml:space="preserve">Трето, Владата тврдеше дека граѓанското барање за надомест на штета претрпена како резултат на повреда на личното право, предвидено со членовите 9-а и 189 од Законот за облигациони односи, можело да </w:t>
      </w:r>
      <w:r w:rsidR="006050DD">
        <w:rPr>
          <w:rFonts w:cstheme="minorHAnsi"/>
          <w:lang w:val="mk-MK"/>
        </w:rPr>
        <w:t>и</w:t>
      </w:r>
      <w:r w:rsidR="00A25C4D" w:rsidRPr="00A25C4D">
        <w:rPr>
          <w:rFonts w:cstheme="minorHAnsi"/>
          <w:lang w:val="mk-MK"/>
        </w:rPr>
        <w:t xml:space="preserve"> овозможи на </w:t>
      </w:r>
      <w:r w:rsidR="0044064F">
        <w:rPr>
          <w:rFonts w:cstheme="minorHAnsi"/>
          <w:lang w:val="mk-MK"/>
        </w:rPr>
        <w:t>апликантката</w:t>
      </w:r>
      <w:r w:rsidR="00A25C4D" w:rsidRPr="00A25C4D">
        <w:rPr>
          <w:rFonts w:cstheme="minorHAnsi"/>
          <w:lang w:val="mk-MK"/>
        </w:rPr>
        <w:t xml:space="preserve"> заштита според граѓанското право (види </w:t>
      </w:r>
      <w:r w:rsidR="00902413">
        <w:rPr>
          <w:lang w:val="mk-MK"/>
        </w:rPr>
        <w:t>параграф</w:t>
      </w:r>
      <w:r w:rsidR="00902413">
        <w:rPr>
          <w:lang w:val="mk-MK"/>
        </w:rPr>
        <w:t>и</w:t>
      </w:r>
      <w:r w:rsidR="00902413" w:rsidRPr="00996776">
        <w:rPr>
          <w:lang w:val="mk-MK"/>
        </w:rPr>
        <w:t xml:space="preserve"> </w:t>
      </w:r>
      <w:r w:rsidR="00A25C4D" w:rsidRPr="00A25C4D">
        <w:rPr>
          <w:rFonts w:cstheme="minorHAnsi"/>
          <w:lang w:val="mk-MK"/>
        </w:rPr>
        <w:t xml:space="preserve">27, 28 и 63 погоре). Сепак, тие не поднесоа никаква домашна судска практика за поддршка на тоа тврдење. Дополнително, домашните судови не се повикале на </w:t>
      </w:r>
      <w:r w:rsidR="00902413">
        <w:rPr>
          <w:rFonts w:cstheme="minorHAnsi"/>
          <w:lang w:val="mk-MK"/>
        </w:rPr>
        <w:t>членовите</w:t>
      </w:r>
      <w:r w:rsidR="00A25C4D" w:rsidRPr="00A25C4D">
        <w:rPr>
          <w:rFonts w:cstheme="minorHAnsi"/>
          <w:lang w:val="mk-MK"/>
        </w:rPr>
        <w:t xml:space="preserve"> 9-а и 189 од Законот за облигациони односи при одлучувањето за случајот на </w:t>
      </w:r>
      <w:r w:rsidR="006050DD">
        <w:rPr>
          <w:rFonts w:cstheme="minorHAnsi"/>
          <w:lang w:val="mk-MK"/>
        </w:rPr>
        <w:t>апликантката</w:t>
      </w:r>
      <w:r w:rsidR="00A25C4D" w:rsidRPr="00A25C4D">
        <w:rPr>
          <w:rFonts w:cstheme="minorHAnsi"/>
          <w:lang w:val="mk-MK"/>
        </w:rPr>
        <w:t xml:space="preserve">, туку го земале предвид само членот 191 од тој Закон. Конечно, во својата пресуда, Апелациониот суд утврди дека нема законски одредби што го покриваат барањето на </w:t>
      </w:r>
      <w:r w:rsidR="006050DD">
        <w:rPr>
          <w:rFonts w:cstheme="minorHAnsi"/>
          <w:lang w:val="mk-MK"/>
        </w:rPr>
        <w:t>апликантката</w:t>
      </w:r>
      <w:r w:rsidR="00A25C4D" w:rsidRPr="00A25C4D">
        <w:rPr>
          <w:rFonts w:cstheme="minorHAnsi"/>
          <w:lang w:val="mk-MK"/>
        </w:rPr>
        <w:t xml:space="preserve"> (види </w:t>
      </w:r>
      <w:r w:rsidR="00902413">
        <w:rPr>
          <w:lang w:val="mk-MK"/>
        </w:rPr>
        <w:t>параграф</w:t>
      </w:r>
      <w:r w:rsidR="00902413" w:rsidRPr="00996776">
        <w:rPr>
          <w:lang w:val="mk-MK"/>
        </w:rPr>
        <w:t xml:space="preserve"> </w:t>
      </w:r>
      <w:r w:rsidR="00A25C4D" w:rsidRPr="00A25C4D">
        <w:rPr>
          <w:rFonts w:cstheme="minorHAnsi"/>
          <w:lang w:val="mk-MK"/>
        </w:rPr>
        <w:t xml:space="preserve">13 </w:t>
      </w:r>
      <w:r w:rsidR="00A25C4D" w:rsidRPr="003F5E8B">
        <w:rPr>
          <w:rFonts w:cstheme="minorHAnsi"/>
          <w:lang w:val="mk-MK"/>
        </w:rPr>
        <w:t xml:space="preserve">погоре </w:t>
      </w:r>
      <w:r w:rsidR="00A25C4D" w:rsidRPr="003F5E8B">
        <w:rPr>
          <w:rFonts w:cstheme="minorHAnsi"/>
          <w:i/>
          <w:iCs/>
          <w:lang w:val="mk-MK"/>
        </w:rPr>
        <w:t>in fine</w:t>
      </w:r>
      <w:r w:rsidR="00A25C4D" w:rsidRPr="003F5E8B">
        <w:rPr>
          <w:rFonts w:cstheme="minorHAnsi"/>
          <w:lang w:val="mk-MK"/>
        </w:rPr>
        <w:t>)</w:t>
      </w:r>
      <w:r w:rsidR="00A25C4D" w:rsidRPr="00A25C4D">
        <w:rPr>
          <w:rFonts w:cstheme="minorHAnsi"/>
          <w:lang w:val="mk-MK"/>
        </w:rPr>
        <w:t xml:space="preserve">. Во такви околности, Судот може само да заклучи или дека барањето за граѓанска компензација за заштита на личните права не понудило никаква перспектива за успех во случајот на </w:t>
      </w:r>
      <w:r w:rsidR="006050DD">
        <w:rPr>
          <w:rFonts w:cstheme="minorHAnsi"/>
          <w:lang w:val="mk-MK"/>
        </w:rPr>
        <w:t>апликантката</w:t>
      </w:r>
      <w:r w:rsidR="00A25C4D" w:rsidRPr="00A25C4D">
        <w:rPr>
          <w:rFonts w:cstheme="minorHAnsi"/>
          <w:lang w:val="mk-MK"/>
        </w:rPr>
        <w:t>, или, како алтернатива, дека Апелациониот суд не извршил доволно темелна проценка на околностите на нејзиниот случај при донесувањето на тој заклучок.</w:t>
      </w:r>
    </w:p>
    <w:p w14:paraId="757539E9" w14:textId="00EC9854" w:rsidR="00795EF7" w:rsidRPr="00996776" w:rsidRDefault="00000000" w:rsidP="00A21C42">
      <w:pPr>
        <w:pStyle w:val="JuPara"/>
        <w:rPr>
          <w:rFonts w:cstheme="minorHAnsi"/>
          <w:lang w:val="mk-MK"/>
        </w:rPr>
      </w:pPr>
      <w:r w:rsidRPr="00996776">
        <w:rPr>
          <w:rFonts w:cstheme="minorHAnsi"/>
          <w:lang w:val="mk-MK"/>
        </w:rPr>
        <w:fldChar w:fldCharType="begin"/>
      </w:r>
      <w:r w:rsidRPr="00996776">
        <w:rPr>
          <w:rFonts w:cstheme="minorHAnsi"/>
          <w:lang w:val="mk-MK"/>
        </w:rPr>
        <w:instrText xml:space="preserve"> SEQ level0 \*arabic \* MERGEFORMAT </w:instrText>
      </w:r>
      <w:r w:rsidRPr="00996776">
        <w:rPr>
          <w:rFonts w:cstheme="minorHAnsi"/>
          <w:lang w:val="mk-MK"/>
        </w:rPr>
        <w:fldChar w:fldCharType="separate"/>
      </w:r>
      <w:bookmarkStart w:id="50" w:name="paragraph00079"/>
      <w:r w:rsidR="00A21C42" w:rsidRPr="00996776">
        <w:rPr>
          <w:rFonts w:cstheme="minorHAnsi"/>
          <w:noProof/>
          <w:lang w:val="mk-MK"/>
        </w:rPr>
        <w:t>77</w:t>
      </w:r>
      <w:bookmarkEnd w:id="50"/>
      <w:r w:rsidRPr="00996776">
        <w:rPr>
          <w:rFonts w:cstheme="minorHAnsi"/>
          <w:lang w:val="mk-MK"/>
        </w:rPr>
        <w:fldChar w:fldCharType="end"/>
      </w:r>
      <w:r w:rsidRPr="00996776">
        <w:rPr>
          <w:rFonts w:cstheme="minorHAnsi"/>
          <w:lang w:val="mk-MK"/>
        </w:rPr>
        <w:t>.  </w:t>
      </w:r>
      <w:r w:rsidR="00A25C4D" w:rsidRPr="00A25C4D">
        <w:rPr>
          <w:rFonts w:cstheme="minorHAnsi"/>
          <w:lang w:val="mk-MK"/>
        </w:rPr>
        <w:t xml:space="preserve">Според тоа, Судот заклучува дека одредбите на домашното граѓанско право, како што се применуваат во пракса од страна на домашните судови, не </w:t>
      </w:r>
      <w:r w:rsidR="003F5E8B" w:rsidRPr="003F5E8B">
        <w:rPr>
          <w:rFonts w:cstheme="minorHAnsi"/>
          <w:lang w:val="mk-MK"/>
        </w:rPr>
        <w:t> ѝ</w:t>
      </w:r>
      <w:r w:rsidR="00A25C4D" w:rsidRPr="00A25C4D">
        <w:rPr>
          <w:rFonts w:cstheme="minorHAnsi"/>
          <w:lang w:val="mk-MK"/>
        </w:rPr>
        <w:t xml:space="preserve"> ја овозможиле на </w:t>
      </w:r>
      <w:r w:rsidR="006050DD">
        <w:rPr>
          <w:rFonts w:cstheme="minorHAnsi"/>
          <w:lang w:val="mk-MK"/>
        </w:rPr>
        <w:t>апликантката</w:t>
      </w:r>
      <w:r w:rsidR="00A25C4D" w:rsidRPr="00A25C4D">
        <w:rPr>
          <w:rFonts w:cstheme="minorHAnsi"/>
          <w:lang w:val="mk-MK"/>
        </w:rPr>
        <w:t xml:space="preserve"> потребната заштита од </w:t>
      </w:r>
      <w:r w:rsidR="0044064F">
        <w:rPr>
          <w:rFonts w:cstheme="minorHAnsi"/>
          <w:lang w:val="mk-MK"/>
        </w:rPr>
        <w:t>полова</w:t>
      </w:r>
      <w:r w:rsidR="00A25C4D" w:rsidRPr="00A25C4D">
        <w:rPr>
          <w:rFonts w:cstheme="minorHAnsi"/>
          <w:lang w:val="mk-MK"/>
        </w:rPr>
        <w:t xml:space="preserve"> злоупотреба</w:t>
      </w:r>
      <w:r w:rsidRPr="00996776">
        <w:rPr>
          <w:rFonts w:cstheme="minorHAnsi"/>
          <w:color w:val="000000"/>
          <w:lang w:val="mk-MK"/>
        </w:rPr>
        <w:t>.</w:t>
      </w:r>
    </w:p>
    <w:p w14:paraId="2D3BA5C5" w14:textId="4E2518E8" w:rsidR="00795EF7" w:rsidRPr="00996776" w:rsidRDefault="00795EF7" w:rsidP="00A21C42">
      <w:pPr>
        <w:pStyle w:val="JuPara"/>
        <w:rPr>
          <w:rFonts w:cstheme="minorHAnsi"/>
          <w:color w:val="000000"/>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78</w:t>
      </w:r>
      <w:r w:rsidRPr="00996776">
        <w:rPr>
          <w:noProof/>
          <w:lang w:val="mk-MK"/>
        </w:rPr>
        <w:fldChar w:fldCharType="end"/>
      </w:r>
      <w:r w:rsidRPr="00996776">
        <w:rPr>
          <w:lang w:val="mk-MK"/>
        </w:rPr>
        <w:t>.  </w:t>
      </w:r>
      <w:r w:rsidR="00A25C4D" w:rsidRPr="00A25C4D">
        <w:rPr>
          <w:rFonts w:cstheme="minorHAnsi"/>
          <w:lang w:val="mk-MK"/>
        </w:rPr>
        <w:t xml:space="preserve">Со оглед на горенаведените заклучоци (види </w:t>
      </w:r>
      <w:r w:rsidR="00902413">
        <w:rPr>
          <w:lang w:val="mk-MK"/>
        </w:rPr>
        <w:t>параграф</w:t>
      </w:r>
      <w:r w:rsidR="00902413">
        <w:rPr>
          <w:lang w:val="mk-MK"/>
        </w:rPr>
        <w:t>и</w:t>
      </w:r>
      <w:r w:rsidR="00902413" w:rsidRPr="00996776">
        <w:rPr>
          <w:lang w:val="mk-MK"/>
        </w:rPr>
        <w:t xml:space="preserve"> </w:t>
      </w:r>
      <w:r w:rsidR="00A25C4D" w:rsidRPr="00A25C4D">
        <w:rPr>
          <w:rFonts w:cstheme="minorHAnsi"/>
          <w:lang w:val="mk-MK"/>
        </w:rPr>
        <w:t xml:space="preserve">72 и 77 погоре), Судот не е задоволен дека домашната правна рамка, како што ја применуваат домашните власти, и овозможи на </w:t>
      </w:r>
      <w:r w:rsidR="006050DD">
        <w:rPr>
          <w:rFonts w:cstheme="minorHAnsi"/>
          <w:lang w:val="mk-MK"/>
        </w:rPr>
        <w:t>апликантката</w:t>
      </w:r>
      <w:r w:rsidR="00A25C4D" w:rsidRPr="00A25C4D">
        <w:rPr>
          <w:rFonts w:cstheme="minorHAnsi"/>
          <w:lang w:val="mk-MK"/>
        </w:rPr>
        <w:t xml:space="preserve"> да добие ефикасна заштита од наводната повреда на нејзиниот личен интегритет</w:t>
      </w:r>
      <w:r w:rsidRPr="00996776">
        <w:rPr>
          <w:rFonts w:cstheme="minorHAnsi"/>
          <w:color w:val="000000"/>
          <w:lang w:val="mk-MK"/>
        </w:rPr>
        <w:t>.</w:t>
      </w:r>
    </w:p>
    <w:p w14:paraId="64532F6F" w14:textId="2D2E5BE2" w:rsidR="00795EF7" w:rsidRPr="00996776" w:rsidRDefault="00A25C4D" w:rsidP="00A21C42">
      <w:pPr>
        <w:pStyle w:val="JuPara"/>
        <w:rPr>
          <w:lang w:val="mk-MK"/>
        </w:rPr>
      </w:pPr>
      <w:r w:rsidRPr="00A25C4D">
        <w:rPr>
          <w:rFonts w:cstheme="minorHAnsi"/>
          <w:color w:val="000000"/>
          <w:lang w:val="mk-MK"/>
        </w:rPr>
        <w:t>Според тоа, има повреда на членот 8 од Конвенцијата</w:t>
      </w:r>
      <w:r w:rsidRPr="00996776">
        <w:rPr>
          <w:rFonts w:cstheme="minorHAnsi"/>
          <w:lang w:val="mk-MK"/>
        </w:rPr>
        <w:t>.</w:t>
      </w:r>
    </w:p>
    <w:p w14:paraId="664FB05B" w14:textId="09C62252" w:rsidR="00795EF7" w:rsidRPr="00A25C4D" w:rsidRDefault="00A25C4D" w:rsidP="00A25C4D">
      <w:pPr>
        <w:pStyle w:val="JuHIRoman"/>
        <w:rPr>
          <w:lang w:val="mk-MK"/>
        </w:rPr>
      </w:pPr>
      <w:r w:rsidRPr="00A25C4D">
        <w:rPr>
          <w:lang w:val="mk-MK"/>
        </w:rPr>
        <w:t xml:space="preserve">ПРИМЕНА НА ЧЛЕН 41 ОД КОНВЕНЦИЈАТА </w:t>
      </w:r>
    </w:p>
    <w:p w14:paraId="1A2D76A4" w14:textId="7D0A7B00"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79</w:t>
      </w:r>
      <w:r w:rsidRPr="00996776">
        <w:rPr>
          <w:noProof/>
          <w:lang w:val="mk-MK"/>
        </w:rPr>
        <w:fldChar w:fldCharType="end"/>
      </w:r>
      <w:r w:rsidRPr="00996776">
        <w:rPr>
          <w:lang w:val="mk-MK"/>
        </w:rPr>
        <w:t>.  </w:t>
      </w:r>
      <w:r w:rsidR="00A25C4D" w:rsidRPr="00A25C4D">
        <w:rPr>
          <w:lang w:val="mk-MK"/>
        </w:rPr>
        <w:t>Член 41 од Конвенцијата предвидува</w:t>
      </w:r>
      <w:r w:rsidRPr="00996776">
        <w:rPr>
          <w:lang w:val="mk-MK"/>
        </w:rPr>
        <w:t>:</w:t>
      </w:r>
    </w:p>
    <w:p w14:paraId="5D2D346A" w14:textId="50DE80F3" w:rsidR="00795EF7" w:rsidRPr="00AF1B07" w:rsidRDefault="00AF1B07" w:rsidP="00A21C42">
      <w:pPr>
        <w:pStyle w:val="JuQuot"/>
        <w:rPr>
          <w:lang w:val="mk-MK"/>
        </w:rPr>
      </w:pPr>
      <w:r>
        <w:rPr>
          <w:lang w:val="mk-MK"/>
        </w:rPr>
        <w:t>„</w:t>
      </w:r>
      <w:r w:rsidRPr="00AF1B07">
        <w:rPr>
          <w:lang w:val="mk-MK"/>
        </w:rPr>
        <w:t xml:space="preserve">Доколку Судот утврди дека има повреда на Конвенцијата или нејзините протоколи, и ако внатрешното право на засегнатата </w:t>
      </w:r>
      <w:r>
        <w:rPr>
          <w:lang w:val="mk-MK"/>
        </w:rPr>
        <w:t>в</w:t>
      </w:r>
      <w:r w:rsidRPr="00AF1B07">
        <w:rPr>
          <w:lang w:val="mk-MK"/>
        </w:rPr>
        <w:t>исока договорна страна дозволува да се изврши само делумна репарација, Судот, доколку е потребно, дозвол</w:t>
      </w:r>
      <w:r>
        <w:rPr>
          <w:lang w:val="mk-MK"/>
        </w:rPr>
        <w:t>ува</w:t>
      </w:r>
      <w:r w:rsidRPr="00AF1B07">
        <w:rPr>
          <w:lang w:val="mk-MK"/>
        </w:rPr>
        <w:t xml:space="preserve"> правична сатисфакција на оштетена страна</w:t>
      </w:r>
      <w:r>
        <w:rPr>
          <w:lang w:val="mk-MK"/>
        </w:rPr>
        <w:t>“</w:t>
      </w:r>
    </w:p>
    <w:p w14:paraId="2A40A13F" w14:textId="5EFC1DBB" w:rsidR="00795EF7" w:rsidRPr="00996776" w:rsidRDefault="00AF1B07" w:rsidP="00A21C42">
      <w:pPr>
        <w:pStyle w:val="JuHA"/>
        <w:numPr>
          <w:ilvl w:val="2"/>
          <w:numId w:val="1"/>
        </w:numPr>
        <w:ind w:left="510" w:hanging="340"/>
        <w:rPr>
          <w:lang w:val="mk-MK"/>
        </w:rPr>
      </w:pPr>
      <w:r>
        <w:rPr>
          <w:lang w:val="mk-MK"/>
        </w:rPr>
        <w:t>Штета</w:t>
      </w:r>
    </w:p>
    <w:p w14:paraId="0C76C675" w14:textId="58EDD571"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80</w:t>
      </w:r>
      <w:r w:rsidRPr="00996776">
        <w:rPr>
          <w:noProof/>
          <w:lang w:val="mk-MK"/>
        </w:rPr>
        <w:fldChar w:fldCharType="end"/>
      </w:r>
      <w:r w:rsidRPr="00996776">
        <w:rPr>
          <w:lang w:val="mk-MK"/>
        </w:rPr>
        <w:t>.  </w:t>
      </w:r>
      <w:r w:rsidR="006050DD">
        <w:rPr>
          <w:lang w:val="mk-MK"/>
        </w:rPr>
        <w:t>Апликантката</w:t>
      </w:r>
      <w:r w:rsidR="00AF1B07" w:rsidRPr="00AF1B07">
        <w:rPr>
          <w:lang w:val="mk-MK"/>
        </w:rPr>
        <w:t xml:space="preserve"> </w:t>
      </w:r>
      <w:r w:rsidR="003F5E8B">
        <w:rPr>
          <w:lang w:val="mk-MK"/>
        </w:rPr>
        <w:t>побара</w:t>
      </w:r>
      <w:r w:rsidR="00AF1B07" w:rsidRPr="00AF1B07">
        <w:rPr>
          <w:lang w:val="mk-MK"/>
        </w:rPr>
        <w:t xml:space="preserve"> 30.000 евра (ЕУР) за нематеријална штета, без да даде други детали. Таа побарала и дополнителни 30.000 евра за болката и страдањето предизвикано од прекршокот</w:t>
      </w:r>
      <w:r w:rsidRPr="00996776">
        <w:rPr>
          <w:lang w:val="mk-MK"/>
        </w:rPr>
        <w:t>.</w:t>
      </w:r>
    </w:p>
    <w:p w14:paraId="43A81E71" w14:textId="4B7C21BF" w:rsidR="00795EF7" w:rsidRPr="00996776" w:rsidRDefault="00795EF7" w:rsidP="00A21C42">
      <w:pPr>
        <w:pStyle w:val="JuPara"/>
        <w:rPr>
          <w:lang w:val="mk-MK"/>
        </w:rPr>
      </w:pPr>
      <w:r w:rsidRPr="00996776">
        <w:rPr>
          <w:lang w:val="mk-MK"/>
        </w:rPr>
        <w:lastRenderedPageBreak/>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81</w:t>
      </w:r>
      <w:r w:rsidRPr="00996776">
        <w:rPr>
          <w:noProof/>
          <w:lang w:val="mk-MK"/>
        </w:rPr>
        <w:fldChar w:fldCharType="end"/>
      </w:r>
      <w:r w:rsidRPr="00996776">
        <w:rPr>
          <w:lang w:val="mk-MK"/>
        </w:rPr>
        <w:t>.  </w:t>
      </w:r>
      <w:r w:rsidR="00AF1B07" w:rsidRPr="00AF1B07">
        <w:rPr>
          <w:lang w:val="mk-MK"/>
        </w:rPr>
        <w:t>Владата ги оспори тврдењата како прекумерни, неосновани и неаргументиран</w:t>
      </w:r>
      <w:r w:rsidR="00AF1B07">
        <w:rPr>
          <w:lang w:val="mk-MK"/>
        </w:rPr>
        <w:t>и</w:t>
      </w:r>
      <w:r w:rsidRPr="00996776">
        <w:rPr>
          <w:lang w:val="mk-MK"/>
        </w:rPr>
        <w:t>.</w:t>
      </w:r>
    </w:p>
    <w:p w14:paraId="23A4A7C6" w14:textId="23146E0D"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82</w:t>
      </w:r>
      <w:r w:rsidRPr="00996776">
        <w:rPr>
          <w:noProof/>
          <w:lang w:val="mk-MK"/>
        </w:rPr>
        <w:fldChar w:fldCharType="end"/>
      </w:r>
      <w:r w:rsidRPr="00996776">
        <w:rPr>
          <w:lang w:val="mk-MK"/>
        </w:rPr>
        <w:t>.  </w:t>
      </w:r>
      <w:r w:rsidR="00AF1B07" w:rsidRPr="00AF1B07">
        <w:rPr>
          <w:lang w:val="mk-MK"/>
        </w:rPr>
        <w:t xml:space="preserve">Судот прифаќа дека апликантката мора да претрпела нематеријална штета како резултат на неуспехот на тужената држава да го заштити нејзиниот физички и психолошки интегритет. Според тоа, одлучувајќи на правична основа, на </w:t>
      </w:r>
      <w:r w:rsidR="006050DD">
        <w:rPr>
          <w:lang w:val="mk-MK"/>
        </w:rPr>
        <w:t>апликантката</w:t>
      </w:r>
      <w:r w:rsidR="00AF1B07" w:rsidRPr="00AF1B07">
        <w:rPr>
          <w:lang w:val="mk-MK"/>
        </w:rPr>
        <w:t xml:space="preserve"> </w:t>
      </w:r>
      <w:r w:rsidR="006050DD">
        <w:rPr>
          <w:lang w:val="mk-MK"/>
        </w:rPr>
        <w:t>и</w:t>
      </w:r>
      <w:r w:rsidR="00AF1B07" w:rsidRPr="00AF1B07">
        <w:rPr>
          <w:lang w:val="mk-MK"/>
        </w:rPr>
        <w:t xml:space="preserve"> доделува </w:t>
      </w:r>
      <w:r w:rsidR="006050DD">
        <w:rPr>
          <w:lang w:val="mk-MK"/>
        </w:rPr>
        <w:t xml:space="preserve">износ од </w:t>
      </w:r>
      <w:r w:rsidR="00AF1B07" w:rsidRPr="00AF1B07">
        <w:rPr>
          <w:lang w:val="mk-MK"/>
        </w:rPr>
        <w:t>4.500 евра во однос на нематеријална штета, плус секој данок што може да се наплати</w:t>
      </w:r>
      <w:r w:rsidRPr="00996776">
        <w:rPr>
          <w:lang w:val="mk-MK"/>
        </w:rPr>
        <w:t>.</w:t>
      </w:r>
    </w:p>
    <w:p w14:paraId="7EC51EC8" w14:textId="7710246F" w:rsidR="00795EF7" w:rsidRPr="00996776" w:rsidRDefault="00AF1B07" w:rsidP="00A21C42">
      <w:pPr>
        <w:pStyle w:val="JuHA"/>
        <w:numPr>
          <w:ilvl w:val="2"/>
          <w:numId w:val="1"/>
        </w:numPr>
        <w:ind w:left="510" w:hanging="340"/>
        <w:rPr>
          <w:lang w:val="mk-MK"/>
        </w:rPr>
      </w:pPr>
      <w:r w:rsidRPr="00AF1B07">
        <w:rPr>
          <w:lang w:val="mk-MK"/>
        </w:rPr>
        <w:t xml:space="preserve">Трошоци и расходи </w:t>
      </w:r>
    </w:p>
    <w:p w14:paraId="6B3AE646" w14:textId="518B10BF"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83</w:t>
      </w:r>
      <w:r w:rsidRPr="00996776">
        <w:rPr>
          <w:noProof/>
          <w:lang w:val="mk-MK"/>
        </w:rPr>
        <w:fldChar w:fldCharType="end"/>
      </w:r>
      <w:r w:rsidRPr="00996776">
        <w:rPr>
          <w:lang w:val="mk-MK"/>
        </w:rPr>
        <w:t>.  </w:t>
      </w:r>
      <w:r w:rsidR="006050DD">
        <w:rPr>
          <w:lang w:val="mk-MK"/>
        </w:rPr>
        <w:t>Апликантката</w:t>
      </w:r>
      <w:r w:rsidR="00AF1B07" w:rsidRPr="00AF1B07">
        <w:rPr>
          <w:lang w:val="mk-MK"/>
        </w:rPr>
        <w:t xml:space="preserve">, исто така, </w:t>
      </w:r>
      <w:r w:rsidR="003F5E8B">
        <w:rPr>
          <w:lang w:val="mk-MK"/>
        </w:rPr>
        <w:t>побара</w:t>
      </w:r>
      <w:r w:rsidR="00AF1B07" w:rsidRPr="00AF1B07">
        <w:rPr>
          <w:lang w:val="mk-MK"/>
        </w:rPr>
        <w:t xml:space="preserve"> 10.000 евра за трошоци и </w:t>
      </w:r>
      <w:r w:rsidR="006050DD">
        <w:rPr>
          <w:lang w:val="mk-MK"/>
        </w:rPr>
        <w:t>расходи</w:t>
      </w:r>
      <w:r w:rsidR="00AF1B07" w:rsidRPr="00AF1B07">
        <w:rPr>
          <w:lang w:val="mk-MK"/>
        </w:rPr>
        <w:t>, без да даде дополнителни детали за нејзиното барање</w:t>
      </w:r>
      <w:r w:rsidRPr="00996776">
        <w:rPr>
          <w:lang w:val="mk-MK"/>
        </w:rPr>
        <w:t>.</w:t>
      </w:r>
    </w:p>
    <w:p w14:paraId="4DA102F1" w14:textId="235ADC25"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84</w:t>
      </w:r>
      <w:r w:rsidRPr="00996776">
        <w:rPr>
          <w:noProof/>
          <w:lang w:val="mk-MK"/>
        </w:rPr>
        <w:fldChar w:fldCharType="end"/>
      </w:r>
      <w:r w:rsidRPr="00996776">
        <w:rPr>
          <w:lang w:val="mk-MK"/>
        </w:rPr>
        <w:t>.  </w:t>
      </w:r>
      <w:r w:rsidR="00AF1B07" w:rsidRPr="00AF1B07">
        <w:rPr>
          <w:lang w:val="mk-MK"/>
        </w:rPr>
        <w:t>Владата го оспори барањето како прекумерно и непотврдено со какви било документи</w:t>
      </w:r>
      <w:r w:rsidRPr="00996776">
        <w:rPr>
          <w:lang w:val="mk-MK"/>
        </w:rPr>
        <w:t>.</w:t>
      </w:r>
    </w:p>
    <w:p w14:paraId="34FAA69A" w14:textId="60DA775E" w:rsidR="00795EF7" w:rsidRPr="00996776" w:rsidRDefault="00795EF7" w:rsidP="00A21C42">
      <w:pPr>
        <w:pStyle w:val="JuPara"/>
        <w:rPr>
          <w:lang w:val="mk-MK"/>
        </w:rPr>
      </w:pPr>
      <w:r w:rsidRPr="00996776">
        <w:rPr>
          <w:lang w:val="mk-MK"/>
        </w:rPr>
        <w:fldChar w:fldCharType="begin"/>
      </w:r>
      <w:r w:rsidRPr="00996776">
        <w:rPr>
          <w:lang w:val="mk-MK"/>
        </w:rPr>
        <w:instrText xml:space="preserve"> SEQ level0 \*arabic \* MERGEFORMAT </w:instrText>
      </w:r>
      <w:r w:rsidRPr="00996776">
        <w:rPr>
          <w:lang w:val="mk-MK"/>
        </w:rPr>
        <w:fldChar w:fldCharType="separate"/>
      </w:r>
      <w:r w:rsidRPr="00996776">
        <w:rPr>
          <w:noProof/>
          <w:lang w:val="mk-MK"/>
        </w:rPr>
        <w:t>85</w:t>
      </w:r>
      <w:r w:rsidRPr="00996776">
        <w:rPr>
          <w:noProof/>
          <w:lang w:val="mk-MK"/>
        </w:rPr>
        <w:fldChar w:fldCharType="end"/>
      </w:r>
      <w:r w:rsidRPr="00996776">
        <w:rPr>
          <w:lang w:val="mk-MK"/>
        </w:rPr>
        <w:t>.  </w:t>
      </w:r>
      <w:bookmarkStart w:id="51" w:name="_cl42385"/>
      <w:r w:rsidR="00AF1B07" w:rsidRPr="00AF1B07">
        <w:rPr>
          <w:lang w:val="mk-MK"/>
        </w:rPr>
        <w:t xml:space="preserve">Според судската практика на Судот, </w:t>
      </w:r>
      <w:r w:rsidR="0044064F">
        <w:rPr>
          <w:lang w:val="mk-MK"/>
        </w:rPr>
        <w:t>апликантката</w:t>
      </w:r>
      <w:r w:rsidR="00AF1B07" w:rsidRPr="00AF1B07">
        <w:rPr>
          <w:lang w:val="mk-MK"/>
        </w:rPr>
        <w:t xml:space="preserve"> има право на надоместок на трошоците и </w:t>
      </w:r>
      <w:r w:rsidR="006050DD">
        <w:rPr>
          <w:lang w:val="mk-MK"/>
        </w:rPr>
        <w:t>расходите</w:t>
      </w:r>
      <w:r w:rsidR="00AF1B07" w:rsidRPr="00AF1B07">
        <w:rPr>
          <w:lang w:val="mk-MK"/>
        </w:rPr>
        <w:t xml:space="preserve"> само доколку се покаж</w:t>
      </w:r>
      <w:r w:rsidR="006050DD">
        <w:rPr>
          <w:lang w:val="mk-MK"/>
        </w:rPr>
        <w:t>е</w:t>
      </w:r>
      <w:r w:rsidR="00AF1B07" w:rsidRPr="00AF1B07">
        <w:rPr>
          <w:lang w:val="mk-MK"/>
        </w:rPr>
        <w:t xml:space="preserve"> дека тие биле навистина и нужно настанати и се разумни квантно (види, меѓу многу други авторитети</w:t>
      </w:r>
      <w:r w:rsidRPr="00996776">
        <w:rPr>
          <w:rFonts w:ascii="Times New Roman" w:hAnsi="Times New Roman" w:cs="Times New Roman"/>
          <w:color w:val="000000"/>
          <w:lang w:val="mk-MK"/>
        </w:rPr>
        <w:t>, </w:t>
      </w:r>
      <w:r w:rsidRPr="00996776">
        <w:rPr>
          <w:rFonts w:ascii="Times New Roman" w:hAnsi="Times New Roman" w:cs="Times New Roman"/>
          <w:i/>
          <w:iCs/>
          <w:color w:val="000000"/>
          <w:lang w:val="mk-MK"/>
        </w:rPr>
        <w:t>L.B. v. H</w:t>
      </w:r>
      <w:bookmarkEnd w:id="51"/>
      <w:r w:rsidRPr="00996776">
        <w:rPr>
          <w:rFonts w:ascii="Times New Roman" w:hAnsi="Times New Roman" w:cs="Times New Roman"/>
          <w:i/>
          <w:iCs/>
          <w:color w:val="000000"/>
          <w:lang w:val="mk-MK"/>
        </w:rPr>
        <w:t>ungary</w:t>
      </w:r>
      <w:r w:rsidRPr="00996776">
        <w:rPr>
          <w:rFonts w:ascii="Times New Roman" w:hAnsi="Times New Roman" w:cs="Times New Roman"/>
          <w:color w:val="000000"/>
          <w:lang w:val="mk-MK"/>
        </w:rPr>
        <w:t xml:space="preserve"> [GC], </w:t>
      </w:r>
      <w:r w:rsidR="00AF1B07">
        <w:rPr>
          <w:rFonts w:ascii="Times New Roman" w:hAnsi="Times New Roman" w:cs="Times New Roman"/>
          <w:color w:val="000000"/>
          <w:lang w:val="mk-MK"/>
        </w:rPr>
        <w:t>бр</w:t>
      </w:r>
      <w:r w:rsidRPr="00996776">
        <w:rPr>
          <w:rFonts w:ascii="Times New Roman" w:hAnsi="Times New Roman" w:cs="Times New Roman"/>
          <w:color w:val="000000"/>
          <w:lang w:val="mk-MK"/>
        </w:rPr>
        <w:t>.</w:t>
      </w:r>
      <w:r w:rsidR="00A75EA0" w:rsidRPr="00996776">
        <w:rPr>
          <w:rFonts w:ascii="Times New Roman" w:hAnsi="Times New Roman" w:cs="Times New Roman"/>
          <w:color w:val="000000"/>
          <w:lang w:val="mk-MK"/>
        </w:rPr>
        <w:t>36345/16</w:t>
      </w:r>
      <w:r w:rsidRPr="00996776">
        <w:rPr>
          <w:rFonts w:ascii="Times New Roman" w:hAnsi="Times New Roman" w:cs="Times New Roman"/>
          <w:color w:val="000000"/>
          <w:lang w:val="mk-MK"/>
        </w:rPr>
        <w:t xml:space="preserve">, § 149, 9 </w:t>
      </w:r>
      <w:r w:rsidR="00AF1B07">
        <w:rPr>
          <w:rFonts w:ascii="Times New Roman" w:hAnsi="Times New Roman" w:cs="Times New Roman"/>
          <w:color w:val="000000"/>
          <w:lang w:val="mk-MK"/>
        </w:rPr>
        <w:t>март</w:t>
      </w:r>
      <w:r w:rsidRPr="00996776">
        <w:rPr>
          <w:rFonts w:ascii="Times New Roman" w:hAnsi="Times New Roman" w:cs="Times New Roman"/>
          <w:color w:val="000000"/>
          <w:lang w:val="mk-MK"/>
        </w:rPr>
        <w:t xml:space="preserve"> 2023</w:t>
      </w:r>
      <w:r w:rsidR="00AF1B07">
        <w:rPr>
          <w:rFonts w:ascii="Times New Roman" w:hAnsi="Times New Roman" w:cs="Times New Roman"/>
          <w:color w:val="000000"/>
          <w:lang w:val="mk-MK"/>
        </w:rPr>
        <w:t xml:space="preserve"> година</w:t>
      </w:r>
      <w:r w:rsidRPr="00996776">
        <w:rPr>
          <w:rFonts w:ascii="Times New Roman" w:hAnsi="Times New Roman" w:cs="Times New Roman"/>
          <w:color w:val="000000"/>
          <w:lang w:val="mk-MK"/>
        </w:rPr>
        <w:t>)</w:t>
      </w:r>
      <w:r w:rsidRPr="00996776">
        <w:rPr>
          <w:rFonts w:ascii="Times New Roman" w:hAnsi="Times New Roman" w:cs="Times New Roman"/>
          <w:lang w:val="mk-MK"/>
        </w:rPr>
        <w:t>.</w:t>
      </w:r>
      <w:r w:rsidRPr="00996776">
        <w:rPr>
          <w:lang w:val="mk-MK"/>
        </w:rPr>
        <w:t xml:space="preserve"> </w:t>
      </w:r>
      <w:r w:rsidR="00AF1B07" w:rsidRPr="00AF1B07">
        <w:rPr>
          <w:lang w:val="mk-MK"/>
        </w:rPr>
        <w:t xml:space="preserve">Односно, </w:t>
      </w:r>
      <w:r w:rsidR="0044064F">
        <w:rPr>
          <w:lang w:val="mk-MK"/>
        </w:rPr>
        <w:t>апликантката</w:t>
      </w:r>
      <w:r w:rsidR="00AF1B07" w:rsidRPr="00AF1B07">
        <w:rPr>
          <w:lang w:val="mk-MK"/>
        </w:rPr>
        <w:t xml:space="preserve"> мора да ги платил</w:t>
      </w:r>
      <w:r w:rsidR="006050DD">
        <w:rPr>
          <w:lang w:val="mk-MK"/>
        </w:rPr>
        <w:t>а</w:t>
      </w:r>
      <w:r w:rsidR="00AF1B07" w:rsidRPr="00AF1B07">
        <w:rPr>
          <w:lang w:val="mk-MK"/>
        </w:rPr>
        <w:t>, или да е обврзан</w:t>
      </w:r>
      <w:r w:rsidR="006050DD">
        <w:rPr>
          <w:lang w:val="mk-MK"/>
        </w:rPr>
        <w:t>а</w:t>
      </w:r>
      <w:r w:rsidR="00AF1B07" w:rsidRPr="00AF1B07">
        <w:rPr>
          <w:lang w:val="mk-MK"/>
        </w:rPr>
        <w:t xml:space="preserve"> да ги плати, согласно законска или договорна обврска (види, на пример</w:t>
      </w:r>
      <w:r w:rsidR="00AF1B07">
        <w:rPr>
          <w:lang w:val="mk-MK"/>
        </w:rPr>
        <w:t xml:space="preserve"> </w:t>
      </w:r>
      <w:r w:rsidRPr="00996776">
        <w:rPr>
          <w:i/>
          <w:iCs/>
          <w:lang w:val="mk-MK"/>
        </w:rPr>
        <w:t>Elmazova and Others</w:t>
      </w:r>
      <w:r w:rsidRPr="00996776">
        <w:rPr>
          <w:lang w:val="mk-MK"/>
        </w:rPr>
        <w:t xml:space="preserve">, </w:t>
      </w:r>
      <w:r w:rsidR="00AF1B07">
        <w:rPr>
          <w:lang w:val="mk-MK"/>
        </w:rPr>
        <w:t>цитирано погоре</w:t>
      </w:r>
      <w:r w:rsidRPr="00996776">
        <w:rPr>
          <w:lang w:val="mk-MK"/>
        </w:rPr>
        <w:t>, § 86).</w:t>
      </w:r>
    </w:p>
    <w:p w14:paraId="0ED62DA0" w14:textId="217870F4" w:rsidR="00795EF7" w:rsidRPr="00996776" w:rsidRDefault="00AF1B07" w:rsidP="00A21C42">
      <w:pPr>
        <w:pStyle w:val="JuPara"/>
        <w:rPr>
          <w:lang w:val="mk-MK"/>
        </w:rPr>
      </w:pPr>
      <w:r w:rsidRPr="00AF1B07">
        <w:rPr>
          <w:lang w:val="mk-MK"/>
        </w:rPr>
        <w:t xml:space="preserve">Во конкретниот случај, имајќи ги предвид горенаведените критериуми и отсуството на какви било придружни документи за да се покаже дека апликантката ги платила бараните </w:t>
      </w:r>
      <w:r w:rsidR="006050DD">
        <w:rPr>
          <w:lang w:val="mk-MK"/>
        </w:rPr>
        <w:t>износи</w:t>
      </w:r>
      <w:r w:rsidRPr="00AF1B07">
        <w:rPr>
          <w:lang w:val="mk-MK"/>
        </w:rPr>
        <w:t xml:space="preserve"> или имала обврска да го стори тоа, Судот го отфрла нејзиното барање според овој дел како неосновано</w:t>
      </w:r>
      <w:r w:rsidRPr="00996776">
        <w:rPr>
          <w:lang w:val="mk-MK"/>
        </w:rPr>
        <w:t>.</w:t>
      </w:r>
    </w:p>
    <w:p w14:paraId="49A11822" w14:textId="3A12688C" w:rsidR="00795EF7" w:rsidRPr="00996776" w:rsidRDefault="00AF1B07" w:rsidP="00A21C42">
      <w:pPr>
        <w:pStyle w:val="JuHHead"/>
        <w:numPr>
          <w:ilvl w:val="0"/>
          <w:numId w:val="1"/>
        </w:numPr>
        <w:rPr>
          <w:lang w:val="mk-MK"/>
        </w:rPr>
      </w:pPr>
      <w:r w:rsidRPr="00AF1B07">
        <w:rPr>
          <w:lang w:val="mk-MK"/>
        </w:rPr>
        <w:t>ОД ОВИЕ ПРИЧИНИ СУДОТ ЕДНОГЛАСНО</w:t>
      </w:r>
      <w:r w:rsidRPr="00996776">
        <w:rPr>
          <w:lang w:val="mk-MK"/>
        </w:rPr>
        <w:t>,</w:t>
      </w:r>
    </w:p>
    <w:p w14:paraId="2048097C" w14:textId="1DD4695B" w:rsidR="00AF1B07" w:rsidRPr="003F5E8B" w:rsidRDefault="00AF1B07" w:rsidP="00A21C42">
      <w:pPr>
        <w:pStyle w:val="JuList"/>
        <w:rPr>
          <w:iCs/>
          <w:lang w:val="mk-MK"/>
        </w:rPr>
      </w:pPr>
      <w:r w:rsidRPr="00AF1B07">
        <w:rPr>
          <w:i/>
          <w:lang w:val="mk-MK"/>
        </w:rPr>
        <w:t xml:space="preserve">Ја прогласува </w:t>
      </w:r>
      <w:r w:rsidRPr="003F5E8B">
        <w:rPr>
          <w:iCs/>
          <w:lang w:val="mk-MK"/>
        </w:rPr>
        <w:t>апликацијата за допуштена</w:t>
      </w:r>
    </w:p>
    <w:p w14:paraId="42653834" w14:textId="36AE0A13" w:rsidR="00795EF7" w:rsidRPr="003F5E8B" w:rsidRDefault="00AF1B07" w:rsidP="00A21C42">
      <w:pPr>
        <w:pStyle w:val="JuList"/>
        <w:rPr>
          <w:iCs/>
          <w:lang w:val="mk-MK"/>
        </w:rPr>
      </w:pPr>
      <w:r w:rsidRPr="00AF1B07">
        <w:rPr>
          <w:i/>
          <w:lang w:val="mk-MK"/>
        </w:rPr>
        <w:t xml:space="preserve">Утврдува </w:t>
      </w:r>
      <w:r w:rsidRPr="003F5E8B">
        <w:rPr>
          <w:iCs/>
          <w:lang w:val="mk-MK"/>
        </w:rPr>
        <w:t>дека имало повреда на член 8 од Конвенцијата;</w:t>
      </w:r>
    </w:p>
    <w:p w14:paraId="4029FC0E" w14:textId="28789ADC" w:rsidR="00795EF7" w:rsidRPr="00996776" w:rsidRDefault="00AF1B07" w:rsidP="00A21C42">
      <w:pPr>
        <w:pStyle w:val="JuList"/>
        <w:rPr>
          <w:lang w:val="mk-MK"/>
        </w:rPr>
      </w:pPr>
      <w:r>
        <w:rPr>
          <w:i/>
          <w:lang w:val="mk-MK"/>
        </w:rPr>
        <w:t>Утврдува</w:t>
      </w:r>
    </w:p>
    <w:p w14:paraId="25B784C5" w14:textId="0E09F7AD" w:rsidR="00795EF7" w:rsidRPr="00996776" w:rsidRDefault="00AF1B07" w:rsidP="00A21C42">
      <w:pPr>
        <w:pStyle w:val="JuLista"/>
        <w:rPr>
          <w:lang w:val="mk-MK"/>
        </w:rPr>
      </w:pPr>
      <w:r w:rsidRPr="00AF1B07">
        <w:rPr>
          <w:lang w:val="mk-MK"/>
        </w:rPr>
        <w:t xml:space="preserve">тужената држава треба да </w:t>
      </w:r>
      <w:r w:rsidR="006050DD">
        <w:rPr>
          <w:lang w:val="mk-MK"/>
        </w:rPr>
        <w:t>и</w:t>
      </w:r>
      <w:r w:rsidRPr="00AF1B07">
        <w:rPr>
          <w:lang w:val="mk-MK"/>
        </w:rPr>
        <w:t xml:space="preserve"> плати на </w:t>
      </w:r>
      <w:r w:rsidR="0044064F">
        <w:rPr>
          <w:lang w:val="mk-MK"/>
        </w:rPr>
        <w:t>апликантката</w:t>
      </w:r>
      <w:r w:rsidRPr="00AF1B07">
        <w:rPr>
          <w:lang w:val="mk-MK"/>
        </w:rPr>
        <w:t>, во рок од три месеци од датумот на кој пресудата станува правосилна во согласност со член 44 став 2 од Конвенцијата, 4.500 евра (четири илјади и петстотини евра), плус секој данок што може да се наплати, во однос на нематеријална штета, да се конвертира во валутата на тужената држава по стапката на спогодбата</w:t>
      </w:r>
      <w:r w:rsidRPr="00996776">
        <w:rPr>
          <w:lang w:val="mk-MK"/>
        </w:rPr>
        <w:t>;</w:t>
      </w:r>
    </w:p>
    <w:p w14:paraId="0C6D51B0" w14:textId="28F03C0B" w:rsidR="00795EF7" w:rsidRPr="00996776" w:rsidRDefault="00AF1B07" w:rsidP="00A21C42">
      <w:pPr>
        <w:pStyle w:val="JuLista"/>
        <w:rPr>
          <w:lang w:val="mk-MK"/>
        </w:rPr>
      </w:pPr>
      <w:r w:rsidRPr="00AF1B07">
        <w:rPr>
          <w:lang w:val="mk-MK"/>
        </w:rPr>
        <w:t xml:space="preserve">дека од истекот на горенаведените три месеци до исплатата ќе се плаќа едноставна камата на горенаведениот износ по стапка еднаква на маргиналната каматна стапка на Европската </w:t>
      </w:r>
      <w:r w:rsidRPr="00AF1B07">
        <w:rPr>
          <w:lang w:val="mk-MK"/>
        </w:rPr>
        <w:lastRenderedPageBreak/>
        <w:t>централна банка за време на затезниот период плус три процентни поени</w:t>
      </w:r>
      <w:r w:rsidRPr="00996776">
        <w:rPr>
          <w:lang w:val="mk-MK"/>
        </w:rPr>
        <w:t>;</w:t>
      </w:r>
    </w:p>
    <w:p w14:paraId="58E3716D" w14:textId="16B6F332" w:rsidR="004D0EC7" w:rsidRPr="00996776" w:rsidRDefault="00AF1B07" w:rsidP="00A21C42">
      <w:pPr>
        <w:pStyle w:val="JuList"/>
        <w:rPr>
          <w:lang w:val="mk-MK"/>
        </w:rPr>
      </w:pPr>
      <w:r w:rsidRPr="00AF1B07">
        <w:rPr>
          <w:i/>
          <w:lang w:val="mk-MK"/>
        </w:rPr>
        <w:t xml:space="preserve">Го отфрла </w:t>
      </w:r>
      <w:r w:rsidR="006050DD">
        <w:rPr>
          <w:iCs/>
          <w:lang w:val="mk-MK"/>
        </w:rPr>
        <w:t xml:space="preserve">остатокот од </w:t>
      </w:r>
      <w:r w:rsidRPr="00AF1B07">
        <w:rPr>
          <w:iCs/>
          <w:lang w:val="mk-MK"/>
        </w:rPr>
        <w:t xml:space="preserve">барањето на </w:t>
      </w:r>
      <w:r w:rsidR="0044064F">
        <w:rPr>
          <w:iCs/>
          <w:lang w:val="mk-MK"/>
        </w:rPr>
        <w:t>апликантката</w:t>
      </w:r>
      <w:r w:rsidRPr="00AF1B07">
        <w:rPr>
          <w:iCs/>
          <w:lang w:val="mk-MK"/>
        </w:rPr>
        <w:t xml:space="preserve"> за правичен надомест</w:t>
      </w:r>
      <w:r w:rsidRPr="00996776">
        <w:rPr>
          <w:lang w:val="mk-MK"/>
        </w:rPr>
        <w:t>.</w:t>
      </w:r>
    </w:p>
    <w:p w14:paraId="28834E0C" w14:textId="706F1059" w:rsidR="008E3A08" w:rsidRPr="00996776" w:rsidRDefault="00AF1B07" w:rsidP="00A21C42">
      <w:pPr>
        <w:pStyle w:val="JuParaLast"/>
        <w:rPr>
          <w:lang w:val="mk-MK"/>
        </w:rPr>
      </w:pPr>
      <w:r w:rsidRPr="00AF1B07">
        <w:rPr>
          <w:lang w:val="mk-MK"/>
        </w:rPr>
        <w:t xml:space="preserve">Изготвено на англиски јазик, и доставено во писмена форма на </w:t>
      </w:r>
      <w:r w:rsidR="00795EF7" w:rsidRPr="00996776">
        <w:rPr>
          <w:rFonts w:ascii="Times New Roman" w:hAnsi="Times New Roman" w:cs="Times New Roman"/>
          <w:lang w:val="mk-MK"/>
        </w:rPr>
        <w:t xml:space="preserve">4 </w:t>
      </w:r>
      <w:r>
        <w:rPr>
          <w:rFonts w:ascii="Times New Roman" w:hAnsi="Times New Roman" w:cs="Times New Roman"/>
          <w:lang w:val="mk-MK"/>
        </w:rPr>
        <w:t>март</w:t>
      </w:r>
      <w:r w:rsidR="00795EF7" w:rsidRPr="00996776">
        <w:rPr>
          <w:rFonts w:ascii="Times New Roman" w:hAnsi="Times New Roman" w:cs="Times New Roman"/>
          <w:lang w:val="mk-MK"/>
        </w:rPr>
        <w:t xml:space="preserve"> 2025</w:t>
      </w:r>
      <w:r>
        <w:rPr>
          <w:rFonts w:ascii="Times New Roman" w:hAnsi="Times New Roman" w:cs="Times New Roman"/>
          <w:lang w:val="mk-MK"/>
        </w:rPr>
        <w:t xml:space="preserve"> година</w:t>
      </w:r>
      <w:r w:rsidRPr="00996776">
        <w:rPr>
          <w:lang w:val="mk-MK"/>
        </w:rPr>
        <w:t xml:space="preserve">, </w:t>
      </w:r>
      <w:r w:rsidRPr="00AF1B07">
        <w:rPr>
          <w:lang w:val="mk-MK"/>
        </w:rPr>
        <w:t>согласно правилото 77 ставови 2 и 3 од Деловникот на Судот</w:t>
      </w:r>
      <w:r w:rsidRPr="00996776">
        <w:rPr>
          <w:lang w:val="mk-MK"/>
        </w:rPr>
        <w:t>.</w:t>
      </w:r>
    </w:p>
    <w:p w14:paraId="5055E7F8" w14:textId="388CA0B5" w:rsidR="00182EBA" w:rsidRPr="00996776" w:rsidRDefault="00000000" w:rsidP="00A21C42">
      <w:pPr>
        <w:pStyle w:val="JuSigned"/>
        <w:rPr>
          <w:lang w:val="mk-MK"/>
        </w:rPr>
      </w:pPr>
      <w:r w:rsidRPr="00996776">
        <w:rPr>
          <w:lang w:val="mk-MK"/>
        </w:rPr>
        <w:tab/>
      </w:r>
      <w:r w:rsidR="00795EF7" w:rsidRPr="00996776">
        <w:rPr>
          <w:lang w:val="mk-MK"/>
        </w:rPr>
        <w:t>Hasan Bakırcı</w:t>
      </w:r>
      <w:r w:rsidRPr="00996776">
        <w:rPr>
          <w:lang w:val="mk-MK"/>
        </w:rPr>
        <w:tab/>
      </w:r>
      <w:r w:rsidR="00795EF7" w:rsidRPr="00996776">
        <w:rPr>
          <w:lang w:val="mk-MK"/>
        </w:rPr>
        <w:t>Arnfinn Bårdsen</w:t>
      </w:r>
      <w:r w:rsidRPr="00996776">
        <w:rPr>
          <w:lang w:val="mk-MK"/>
        </w:rPr>
        <w:br/>
      </w:r>
      <w:r w:rsidRPr="00996776">
        <w:rPr>
          <w:lang w:val="mk-MK"/>
        </w:rPr>
        <w:tab/>
      </w:r>
      <w:r w:rsidR="00AF1B07">
        <w:rPr>
          <w:iCs/>
          <w:lang w:val="mk-MK"/>
        </w:rPr>
        <w:t xml:space="preserve">Секретар </w:t>
      </w:r>
      <w:r w:rsidRPr="00996776">
        <w:rPr>
          <w:lang w:val="mk-MK"/>
        </w:rPr>
        <w:tab/>
      </w:r>
      <w:r w:rsidR="00AF1B07">
        <w:rPr>
          <w:lang w:val="mk-MK"/>
        </w:rPr>
        <w:t>Претседател</w:t>
      </w:r>
    </w:p>
    <w:sectPr w:rsidR="00182EBA" w:rsidRPr="00996776" w:rsidSect="007D3701">
      <w:headerReference w:type="even" r:id="rId12"/>
      <w:headerReference w:type="default" r:id="rId13"/>
      <w:footerReference w:type="even" r:id="rId14"/>
      <w:foot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55D7" w14:textId="77777777" w:rsidR="00D74142" w:rsidRDefault="00D74142">
      <w:r>
        <w:separator/>
      </w:r>
    </w:p>
  </w:endnote>
  <w:endnote w:type="continuationSeparator" w:id="0">
    <w:p w14:paraId="0D228133" w14:textId="77777777" w:rsidR="00D74142" w:rsidRDefault="00D7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174A" w14:textId="77777777" w:rsidR="00795EF7" w:rsidRPr="00150BFA" w:rsidRDefault="00000000" w:rsidP="0020718E">
    <w:pPr>
      <w:jc w:val="center"/>
    </w:pPr>
    <w:r>
      <w:rPr>
        <w:noProof/>
        <w:lang w:val="en-US"/>
      </w:rPr>
      <w:drawing>
        <wp:inline distT="0" distB="0" distL="0" distR="0" wp14:anchorId="1DBD43D3" wp14:editId="00DFC60E">
          <wp:extent cx="771525" cy="619125"/>
          <wp:effectExtent l="0" t="0" r="9525" b="9525"/>
          <wp:docPr id="58"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31CA47FA" w14:textId="77777777" w:rsidR="0098410D" w:rsidRPr="00E67565" w:rsidRDefault="0098410D"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D9F4" w14:textId="77777777" w:rsidR="00795EF7" w:rsidRPr="00150BFA" w:rsidRDefault="00000000" w:rsidP="0020718E">
    <w:pPr>
      <w:jc w:val="center"/>
    </w:pPr>
    <w:r>
      <w:rPr>
        <w:noProof/>
        <w:lang w:val="en-US"/>
      </w:rPr>
      <w:drawing>
        <wp:inline distT="0" distB="0" distL="0" distR="0" wp14:anchorId="01F14B05" wp14:editId="20D7A22F">
          <wp:extent cx="771525" cy="619125"/>
          <wp:effectExtent l="0" t="0" r="9525" b="9525"/>
          <wp:docPr id="3" name="Picture 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1F2A3597" w14:textId="77777777" w:rsidR="009E7A6F" w:rsidRPr="00E67565" w:rsidRDefault="009E7A6F"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6DF" w14:textId="77777777" w:rsidR="00182EBA" w:rsidRDefault="00000000" w:rsidP="009A115C">
    <w:pPr>
      <w:pStyle w:val="JuHeader"/>
    </w:pPr>
    <w:r>
      <w:fldChar w:fldCharType="begin"/>
    </w:r>
    <w:r>
      <w:instrText xml:space="preserve"> PAGE  \* MERGEFORMAT </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FB78" w14:textId="77777777" w:rsidR="00182EBA" w:rsidRPr="000B7195" w:rsidRDefault="00000000" w:rsidP="007D3701">
    <w:pPr>
      <w:pStyle w:val="JuHead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7A7E" w14:textId="77777777" w:rsidR="00D74142" w:rsidRDefault="00D74142">
      <w:r>
        <w:separator/>
      </w:r>
    </w:p>
  </w:footnote>
  <w:footnote w:type="continuationSeparator" w:id="0">
    <w:p w14:paraId="0B0A32E0" w14:textId="77777777" w:rsidR="00D74142" w:rsidRDefault="00D7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4519" w14:textId="77777777" w:rsidR="00795EF7" w:rsidRPr="00A45145" w:rsidRDefault="00000000" w:rsidP="00A45145">
    <w:pPr>
      <w:jc w:val="center"/>
    </w:pPr>
    <w:r>
      <w:rPr>
        <w:noProof/>
        <w:lang w:val="en-US"/>
      </w:rPr>
      <w:drawing>
        <wp:inline distT="0" distB="0" distL="0" distR="0" wp14:anchorId="429B8340" wp14:editId="6306FA4D">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59A39C22" w14:textId="77777777" w:rsidR="0098410D" w:rsidRPr="00E67565"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E798" w14:textId="77777777" w:rsidR="00795EF7" w:rsidRPr="00A45145" w:rsidRDefault="00000000" w:rsidP="00A45145">
    <w:pPr>
      <w:jc w:val="center"/>
    </w:pPr>
    <w:r>
      <w:rPr>
        <w:noProof/>
        <w:lang w:val="en-US"/>
      </w:rPr>
      <w:drawing>
        <wp:inline distT="0" distB="0" distL="0" distR="0" wp14:anchorId="23BDB6BE" wp14:editId="40185E95">
          <wp:extent cx="2962275" cy="1219200"/>
          <wp:effectExtent l="0" t="0" r="9525" b="0"/>
          <wp:docPr id="51"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4ADC9413" w14:textId="77777777" w:rsidR="0098410D" w:rsidRPr="00E67565" w:rsidRDefault="009841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99E1" w14:textId="77777777" w:rsidR="00182EBA" w:rsidRPr="004D0EC7" w:rsidRDefault="00000000" w:rsidP="004D0EC7">
    <w:pPr>
      <w:pStyle w:val="JuHeader"/>
    </w:pPr>
    <w:r>
      <w:t>K.M. v. NORTH MACEDONIA</w:t>
    </w:r>
    <w:r w:rsidRPr="004D0EC7">
      <w:t xml:space="preserve"> </w:t>
    </w:r>
    <w:r>
      <w:t>JUDGMENT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9268" w14:textId="11E19CAB" w:rsidR="00182EBA" w:rsidRPr="00D2328C" w:rsidRDefault="00D2328C" w:rsidP="00D2328C">
    <w:pPr>
      <w:pStyle w:val="Header"/>
      <w:jc w:val="center"/>
    </w:pPr>
    <w:r w:rsidRPr="00D2328C">
      <w:rPr>
        <w:sz w:val="18"/>
      </w:rPr>
      <w:t xml:space="preserve">К.М. </w:t>
    </w:r>
    <w:proofErr w:type="spellStart"/>
    <w:r w:rsidRPr="00D2328C">
      <w:rPr>
        <w:sz w:val="18"/>
      </w:rPr>
      <w:t>против</w:t>
    </w:r>
    <w:proofErr w:type="spellEnd"/>
    <w:r w:rsidRPr="00D2328C">
      <w:rPr>
        <w:sz w:val="18"/>
      </w:rPr>
      <w:t xml:space="preserve"> СЕВЕРНА МАКЕДОНИЈА ПРЕСУДА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5C70A5F6"/>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asciiTheme="majorHAnsi" w:hAnsiTheme="majorHAnsi" w:cstheme="majorHAnsi"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lvl>
    <w:lvl w:ilvl="1">
      <w:start w:val="1"/>
      <w:numFmt w:val="upperRoman"/>
      <w:suff w:val="space"/>
      <w:lvlText w:val="%2."/>
      <w:lvlJc w:val="left"/>
      <w:pPr>
        <w:ind w:left="357" w:hanging="357"/>
      </w:pPr>
      <w:rPr>
        <w:sz w:val="24"/>
      </w:rPr>
    </w:lvl>
    <w:lvl w:ilvl="2">
      <w:start w:val="1"/>
      <w:numFmt w:val="upperLetter"/>
      <w:lvlText w:val="%3."/>
      <w:lvlJc w:val="left"/>
      <w:pPr>
        <w:ind w:left="584" w:hanging="352"/>
      </w:pPr>
    </w:lvl>
    <w:lvl w:ilvl="3">
      <w:start w:val="1"/>
      <w:numFmt w:val="decimal"/>
      <w:lvlText w:val="%4."/>
      <w:lvlJc w:val="left"/>
      <w:pPr>
        <w:ind w:left="731" w:hanging="300"/>
      </w:pPr>
    </w:lvl>
    <w:lvl w:ilvl="4">
      <w:start w:val="1"/>
      <w:numFmt w:val="lowerLetter"/>
      <w:lvlText w:val="(%5)"/>
      <w:lvlJc w:val="left"/>
      <w:pPr>
        <w:ind w:left="975" w:hanging="340"/>
      </w:pPr>
    </w:lvl>
    <w:lvl w:ilvl="5">
      <w:start w:val="1"/>
      <w:numFmt w:val="lowerRoman"/>
      <w:suff w:val="space"/>
      <w:lvlText w:val="(%6)"/>
      <w:lvlJc w:val="left"/>
      <w:pPr>
        <w:ind w:left="1191" w:hanging="358"/>
      </w:p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cs="Times New Roman" w:hint="default"/>
        <w:color w:val="auto"/>
      </w:rPr>
    </w:lvl>
    <w:lvl w:ilvl="8">
      <w:start w:val="1"/>
      <w:numFmt w:val="none"/>
      <w:lvlText w:val="%9"/>
      <w:lvlJc w:val="right"/>
      <w:pPr>
        <w:ind w:left="7313" w:hanging="180"/>
      </w:pPr>
    </w:lvl>
  </w:abstractNum>
  <w:abstractNum w:abstractNumId="18" w15:restartNumberingAfterBreak="0">
    <w:nsid w:val="67FD1241"/>
    <w:multiLevelType w:val="hybridMultilevel"/>
    <w:tmpl w:val="F6D86CC2"/>
    <w:lvl w:ilvl="0" w:tplc="C3F06BCA">
      <w:start w:val="1"/>
      <w:numFmt w:val="bullet"/>
      <w:pStyle w:val="ListBullet"/>
      <w:lvlText w:val=""/>
      <w:lvlJc w:val="left"/>
      <w:pPr>
        <w:tabs>
          <w:tab w:val="num" w:pos="851"/>
        </w:tabs>
        <w:ind w:left="568" w:firstLine="0"/>
      </w:pPr>
      <w:rPr>
        <w:rFonts w:ascii="Wingdings" w:hAnsi="Wingdings" w:hint="default"/>
        <w:color w:val="808080"/>
        <w:sz w:val="16"/>
      </w:rPr>
    </w:lvl>
    <w:lvl w:ilvl="1" w:tplc="90A0D920" w:tentative="1">
      <w:start w:val="1"/>
      <w:numFmt w:val="bullet"/>
      <w:lvlText w:val="o"/>
      <w:lvlJc w:val="left"/>
      <w:pPr>
        <w:tabs>
          <w:tab w:val="num" w:pos="1724"/>
        </w:tabs>
        <w:ind w:left="1724" w:hanging="360"/>
      </w:pPr>
      <w:rPr>
        <w:rFonts w:ascii="Courier New" w:hAnsi="Courier New" w:cs="Courier New" w:hint="default"/>
      </w:rPr>
    </w:lvl>
    <w:lvl w:ilvl="2" w:tplc="63EA7E3E" w:tentative="1">
      <w:start w:val="1"/>
      <w:numFmt w:val="bullet"/>
      <w:lvlText w:val=""/>
      <w:lvlJc w:val="left"/>
      <w:pPr>
        <w:tabs>
          <w:tab w:val="num" w:pos="2444"/>
        </w:tabs>
        <w:ind w:left="2444" w:hanging="360"/>
      </w:pPr>
      <w:rPr>
        <w:rFonts w:ascii="Wingdings" w:hAnsi="Wingdings" w:hint="default"/>
      </w:rPr>
    </w:lvl>
    <w:lvl w:ilvl="3" w:tplc="9BA6B278" w:tentative="1">
      <w:start w:val="1"/>
      <w:numFmt w:val="bullet"/>
      <w:lvlText w:val=""/>
      <w:lvlJc w:val="left"/>
      <w:pPr>
        <w:tabs>
          <w:tab w:val="num" w:pos="3164"/>
        </w:tabs>
        <w:ind w:left="3164" w:hanging="360"/>
      </w:pPr>
      <w:rPr>
        <w:rFonts w:ascii="Symbol" w:hAnsi="Symbol" w:hint="default"/>
      </w:rPr>
    </w:lvl>
    <w:lvl w:ilvl="4" w:tplc="4E8EFEBC" w:tentative="1">
      <w:start w:val="1"/>
      <w:numFmt w:val="bullet"/>
      <w:lvlText w:val="o"/>
      <w:lvlJc w:val="left"/>
      <w:pPr>
        <w:tabs>
          <w:tab w:val="num" w:pos="3884"/>
        </w:tabs>
        <w:ind w:left="3884" w:hanging="360"/>
      </w:pPr>
      <w:rPr>
        <w:rFonts w:ascii="Courier New" w:hAnsi="Courier New" w:cs="Courier New" w:hint="default"/>
      </w:rPr>
    </w:lvl>
    <w:lvl w:ilvl="5" w:tplc="1696CD44" w:tentative="1">
      <w:start w:val="1"/>
      <w:numFmt w:val="bullet"/>
      <w:lvlText w:val=""/>
      <w:lvlJc w:val="left"/>
      <w:pPr>
        <w:tabs>
          <w:tab w:val="num" w:pos="4604"/>
        </w:tabs>
        <w:ind w:left="4604" w:hanging="360"/>
      </w:pPr>
      <w:rPr>
        <w:rFonts w:ascii="Wingdings" w:hAnsi="Wingdings" w:hint="default"/>
      </w:rPr>
    </w:lvl>
    <w:lvl w:ilvl="6" w:tplc="5B5AEDFA" w:tentative="1">
      <w:start w:val="1"/>
      <w:numFmt w:val="bullet"/>
      <w:lvlText w:val=""/>
      <w:lvlJc w:val="left"/>
      <w:pPr>
        <w:tabs>
          <w:tab w:val="num" w:pos="5324"/>
        </w:tabs>
        <w:ind w:left="5324" w:hanging="360"/>
      </w:pPr>
      <w:rPr>
        <w:rFonts w:ascii="Symbol" w:hAnsi="Symbol" w:hint="default"/>
      </w:rPr>
    </w:lvl>
    <w:lvl w:ilvl="7" w:tplc="2DCC494C" w:tentative="1">
      <w:start w:val="1"/>
      <w:numFmt w:val="bullet"/>
      <w:lvlText w:val="o"/>
      <w:lvlJc w:val="left"/>
      <w:pPr>
        <w:tabs>
          <w:tab w:val="num" w:pos="6044"/>
        </w:tabs>
        <w:ind w:left="6044" w:hanging="360"/>
      </w:pPr>
      <w:rPr>
        <w:rFonts w:ascii="Courier New" w:hAnsi="Courier New" w:cs="Courier New" w:hint="default"/>
      </w:rPr>
    </w:lvl>
    <w:lvl w:ilvl="8" w:tplc="7EC8377A"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16cid:durableId="490561374">
    <w:abstractNumId w:val="19"/>
  </w:num>
  <w:num w:numId="2" w16cid:durableId="1383823968">
    <w:abstractNumId w:val="14"/>
  </w:num>
  <w:num w:numId="3" w16cid:durableId="1308972537">
    <w:abstractNumId w:val="12"/>
  </w:num>
  <w:num w:numId="4" w16cid:durableId="1514298076">
    <w:abstractNumId w:val="11"/>
  </w:num>
  <w:num w:numId="5" w16cid:durableId="2008702654">
    <w:abstractNumId w:val="15"/>
  </w:num>
  <w:num w:numId="6" w16cid:durableId="2049601412">
    <w:abstractNumId w:val="13"/>
  </w:num>
  <w:num w:numId="7" w16cid:durableId="291208285">
    <w:abstractNumId w:val="16"/>
  </w:num>
  <w:num w:numId="8" w16cid:durableId="128937812">
    <w:abstractNumId w:val="18"/>
  </w:num>
  <w:num w:numId="9" w16cid:durableId="1609198904">
    <w:abstractNumId w:val="7"/>
  </w:num>
  <w:num w:numId="10" w16cid:durableId="294453753">
    <w:abstractNumId w:val="6"/>
  </w:num>
  <w:num w:numId="11" w16cid:durableId="1129906718">
    <w:abstractNumId w:val="5"/>
  </w:num>
  <w:num w:numId="12" w16cid:durableId="2024015202">
    <w:abstractNumId w:val="4"/>
  </w:num>
  <w:num w:numId="13" w16cid:durableId="365522390">
    <w:abstractNumId w:val="8"/>
  </w:num>
  <w:num w:numId="14" w16cid:durableId="1240939095">
    <w:abstractNumId w:val="3"/>
  </w:num>
  <w:num w:numId="15" w16cid:durableId="1806242016">
    <w:abstractNumId w:val="2"/>
  </w:num>
  <w:num w:numId="16" w16cid:durableId="1601110612">
    <w:abstractNumId w:val="1"/>
  </w:num>
  <w:num w:numId="17" w16cid:durableId="1951623476">
    <w:abstractNumId w:val="0"/>
  </w:num>
  <w:num w:numId="18" w16cid:durableId="1949585287">
    <w:abstractNumId w:val="15"/>
  </w:num>
  <w:num w:numId="19" w16cid:durableId="798299240">
    <w:abstractNumId w:val="16"/>
  </w:num>
  <w:num w:numId="20" w16cid:durableId="719282876">
    <w:abstractNumId w:val="10"/>
  </w:num>
  <w:num w:numId="21" w16cid:durableId="1242639084">
    <w:abstractNumId w:val="9"/>
  </w:num>
  <w:num w:numId="22" w16cid:durableId="1644236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3" w16cid:durableId="2019473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1"/>
    <w:docVar w:name="EMM" w:val="0"/>
    <w:docVar w:name="NBEMMDOC" w:val="0"/>
    <w:docVar w:name="Plural" w:val="0"/>
  </w:docVars>
  <w:rsids>
    <w:rsidRoot w:val="00795EF7"/>
    <w:rsid w:val="000041F8"/>
    <w:rsid w:val="000042A8"/>
    <w:rsid w:val="00004308"/>
    <w:rsid w:val="00005BF0"/>
    <w:rsid w:val="0000617D"/>
    <w:rsid w:val="00007154"/>
    <w:rsid w:val="000103AE"/>
    <w:rsid w:val="00011D69"/>
    <w:rsid w:val="00012AD3"/>
    <w:rsid w:val="00015C2D"/>
    <w:rsid w:val="00015F00"/>
    <w:rsid w:val="0001768D"/>
    <w:rsid w:val="00022C1D"/>
    <w:rsid w:val="0002592F"/>
    <w:rsid w:val="00031428"/>
    <w:rsid w:val="00032552"/>
    <w:rsid w:val="00034987"/>
    <w:rsid w:val="00041560"/>
    <w:rsid w:val="000602DF"/>
    <w:rsid w:val="00061B05"/>
    <w:rsid w:val="000632D5"/>
    <w:rsid w:val="000644EE"/>
    <w:rsid w:val="000712E3"/>
    <w:rsid w:val="0007367B"/>
    <w:rsid w:val="0007780A"/>
    <w:rsid w:val="00085457"/>
    <w:rsid w:val="000925AD"/>
    <w:rsid w:val="00096FE1"/>
    <w:rsid w:val="00097A62"/>
    <w:rsid w:val="000A24EB"/>
    <w:rsid w:val="000B686A"/>
    <w:rsid w:val="000B6923"/>
    <w:rsid w:val="000B7195"/>
    <w:rsid w:val="000B7D1C"/>
    <w:rsid w:val="000C5F3C"/>
    <w:rsid w:val="000C6DCC"/>
    <w:rsid w:val="000D47AA"/>
    <w:rsid w:val="000D721F"/>
    <w:rsid w:val="000E069B"/>
    <w:rsid w:val="000E0E82"/>
    <w:rsid w:val="000E1DC5"/>
    <w:rsid w:val="000E223F"/>
    <w:rsid w:val="000E389F"/>
    <w:rsid w:val="000E46B8"/>
    <w:rsid w:val="000E7D45"/>
    <w:rsid w:val="000F52F4"/>
    <w:rsid w:val="000F7851"/>
    <w:rsid w:val="00101505"/>
    <w:rsid w:val="00104E23"/>
    <w:rsid w:val="00110DA8"/>
    <w:rsid w:val="00111B0C"/>
    <w:rsid w:val="00120D6C"/>
    <w:rsid w:val="001257EC"/>
    <w:rsid w:val="00133D33"/>
    <w:rsid w:val="00134B6A"/>
    <w:rsid w:val="00134D64"/>
    <w:rsid w:val="00135A30"/>
    <w:rsid w:val="0013612C"/>
    <w:rsid w:val="00137FF6"/>
    <w:rsid w:val="0014125F"/>
    <w:rsid w:val="00141650"/>
    <w:rsid w:val="001504C8"/>
    <w:rsid w:val="00150BFA"/>
    <w:rsid w:val="001561B6"/>
    <w:rsid w:val="00162A12"/>
    <w:rsid w:val="00166530"/>
    <w:rsid w:val="00170027"/>
    <w:rsid w:val="001805C4"/>
    <w:rsid w:val="00182EBA"/>
    <w:rsid w:val="001832BD"/>
    <w:rsid w:val="001943B5"/>
    <w:rsid w:val="00195134"/>
    <w:rsid w:val="001A020C"/>
    <w:rsid w:val="001A145B"/>
    <w:rsid w:val="001A3E09"/>
    <w:rsid w:val="001A674C"/>
    <w:rsid w:val="001B3B24"/>
    <w:rsid w:val="001C055B"/>
    <w:rsid w:val="001C0F98"/>
    <w:rsid w:val="001C2A42"/>
    <w:rsid w:val="001D2959"/>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05FDF"/>
    <w:rsid w:val="0020718E"/>
    <w:rsid w:val="00210338"/>
    <w:rsid w:val="002115FC"/>
    <w:rsid w:val="0021423C"/>
    <w:rsid w:val="00226C89"/>
    <w:rsid w:val="00230D00"/>
    <w:rsid w:val="00231DF7"/>
    <w:rsid w:val="00231FD1"/>
    <w:rsid w:val="002339E0"/>
    <w:rsid w:val="00233CF8"/>
    <w:rsid w:val="0023575D"/>
    <w:rsid w:val="00237148"/>
    <w:rsid w:val="0023743D"/>
    <w:rsid w:val="0024222D"/>
    <w:rsid w:val="002422B6"/>
    <w:rsid w:val="0024436B"/>
    <w:rsid w:val="00244B0E"/>
    <w:rsid w:val="00244F6C"/>
    <w:rsid w:val="00246B89"/>
    <w:rsid w:val="00252C4E"/>
    <w:rsid w:val="002532C5"/>
    <w:rsid w:val="00254DF2"/>
    <w:rsid w:val="00260C03"/>
    <w:rsid w:val="002622CC"/>
    <w:rsid w:val="0026439A"/>
    <w:rsid w:val="0026540E"/>
    <w:rsid w:val="00275123"/>
    <w:rsid w:val="00281B7C"/>
    <w:rsid w:val="00282240"/>
    <w:rsid w:val="00282BD8"/>
    <w:rsid w:val="00287AD5"/>
    <w:rsid w:val="002934D0"/>
    <w:rsid w:val="00293676"/>
    <w:rsid w:val="00293A28"/>
    <w:rsid w:val="00293BD9"/>
    <w:rsid w:val="002948AD"/>
    <w:rsid w:val="002A01CC"/>
    <w:rsid w:val="002A613A"/>
    <w:rsid w:val="002A61B1"/>
    <w:rsid w:val="002A663C"/>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E77E3"/>
    <w:rsid w:val="002F2AF7"/>
    <w:rsid w:val="002F6149"/>
    <w:rsid w:val="002F69C4"/>
    <w:rsid w:val="002F7D9E"/>
    <w:rsid w:val="002F7E1C"/>
    <w:rsid w:val="00300241"/>
    <w:rsid w:val="00301A75"/>
    <w:rsid w:val="00302F70"/>
    <w:rsid w:val="0030336F"/>
    <w:rsid w:val="0030375E"/>
    <w:rsid w:val="00312A30"/>
    <w:rsid w:val="003201D8"/>
    <w:rsid w:val="00320F72"/>
    <w:rsid w:val="0032463E"/>
    <w:rsid w:val="00326224"/>
    <w:rsid w:val="00337EE4"/>
    <w:rsid w:val="00340FFD"/>
    <w:rsid w:val="00345C41"/>
    <w:rsid w:val="003506B1"/>
    <w:rsid w:val="00355877"/>
    <w:rsid w:val="00356AC7"/>
    <w:rsid w:val="003609FA"/>
    <w:rsid w:val="003710C8"/>
    <w:rsid w:val="003750BE"/>
    <w:rsid w:val="00385A36"/>
    <w:rsid w:val="00385ED0"/>
    <w:rsid w:val="00385F3D"/>
    <w:rsid w:val="0038740C"/>
    <w:rsid w:val="00387B9D"/>
    <w:rsid w:val="00387C70"/>
    <w:rsid w:val="00390294"/>
    <w:rsid w:val="0039364F"/>
    <w:rsid w:val="00396686"/>
    <w:rsid w:val="0039778E"/>
    <w:rsid w:val="003B4941"/>
    <w:rsid w:val="003C5714"/>
    <w:rsid w:val="003C6B9F"/>
    <w:rsid w:val="003C6E2A"/>
    <w:rsid w:val="003D0299"/>
    <w:rsid w:val="003E102B"/>
    <w:rsid w:val="003E6D80"/>
    <w:rsid w:val="003E7BCC"/>
    <w:rsid w:val="003F05FA"/>
    <w:rsid w:val="003F244A"/>
    <w:rsid w:val="003F2517"/>
    <w:rsid w:val="003F30B8"/>
    <w:rsid w:val="003F4C45"/>
    <w:rsid w:val="003F5E8B"/>
    <w:rsid w:val="003F5F7B"/>
    <w:rsid w:val="003F7D64"/>
    <w:rsid w:val="003F7E87"/>
    <w:rsid w:val="0040433A"/>
    <w:rsid w:val="00414300"/>
    <w:rsid w:val="00414F27"/>
    <w:rsid w:val="0041699C"/>
    <w:rsid w:val="00420703"/>
    <w:rsid w:val="00420F8D"/>
    <w:rsid w:val="00422E86"/>
    <w:rsid w:val="00425C67"/>
    <w:rsid w:val="00427E7A"/>
    <w:rsid w:val="00433D77"/>
    <w:rsid w:val="004355AC"/>
    <w:rsid w:val="00436C49"/>
    <w:rsid w:val="0044064F"/>
    <w:rsid w:val="00443D98"/>
    <w:rsid w:val="00445366"/>
    <w:rsid w:val="00447F5B"/>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58E2"/>
    <w:rsid w:val="005264C0"/>
    <w:rsid w:val="00526A8A"/>
    <w:rsid w:val="00527FB1"/>
    <w:rsid w:val="00530FE6"/>
    <w:rsid w:val="00531DF2"/>
    <w:rsid w:val="0053315C"/>
    <w:rsid w:val="00536B9B"/>
    <w:rsid w:val="00537476"/>
    <w:rsid w:val="005442EE"/>
    <w:rsid w:val="00545DA6"/>
    <w:rsid w:val="0054716E"/>
    <w:rsid w:val="00547353"/>
    <w:rsid w:val="005474E7"/>
    <w:rsid w:val="005512A3"/>
    <w:rsid w:val="005578CE"/>
    <w:rsid w:val="00562781"/>
    <w:rsid w:val="00562B6C"/>
    <w:rsid w:val="0057271C"/>
    <w:rsid w:val="00572845"/>
    <w:rsid w:val="00576831"/>
    <w:rsid w:val="005879A2"/>
    <w:rsid w:val="00592772"/>
    <w:rsid w:val="0059574A"/>
    <w:rsid w:val="005A1B9B"/>
    <w:rsid w:val="005A2221"/>
    <w:rsid w:val="005A2E79"/>
    <w:rsid w:val="005A6751"/>
    <w:rsid w:val="005B019E"/>
    <w:rsid w:val="005B092E"/>
    <w:rsid w:val="005B152C"/>
    <w:rsid w:val="005B1EE0"/>
    <w:rsid w:val="005B2B24"/>
    <w:rsid w:val="005B4425"/>
    <w:rsid w:val="005B4B94"/>
    <w:rsid w:val="005C2C62"/>
    <w:rsid w:val="005C3EE8"/>
    <w:rsid w:val="005D2F2A"/>
    <w:rsid w:val="005D34F9"/>
    <w:rsid w:val="005D4190"/>
    <w:rsid w:val="005D67A3"/>
    <w:rsid w:val="005E2988"/>
    <w:rsid w:val="005E3085"/>
    <w:rsid w:val="005F0EB3"/>
    <w:rsid w:val="005F51E1"/>
    <w:rsid w:val="005F7BB5"/>
    <w:rsid w:val="006050DD"/>
    <w:rsid w:val="00611C80"/>
    <w:rsid w:val="00620692"/>
    <w:rsid w:val="00623885"/>
    <w:rsid w:val="006242CA"/>
    <w:rsid w:val="006244FD"/>
    <w:rsid w:val="00627507"/>
    <w:rsid w:val="00633717"/>
    <w:rsid w:val="006344E1"/>
    <w:rsid w:val="00641CA8"/>
    <w:rsid w:val="00643524"/>
    <w:rsid w:val="0064393B"/>
    <w:rsid w:val="00645CF2"/>
    <w:rsid w:val="00653BED"/>
    <w:rsid w:val="006545C4"/>
    <w:rsid w:val="00661971"/>
    <w:rsid w:val="00661CE8"/>
    <w:rsid w:val="006623D9"/>
    <w:rsid w:val="006642A5"/>
    <w:rsid w:val="0066550C"/>
    <w:rsid w:val="00665BD2"/>
    <w:rsid w:val="006716F2"/>
    <w:rsid w:val="00675AF2"/>
    <w:rsid w:val="00676388"/>
    <w:rsid w:val="00682BF2"/>
    <w:rsid w:val="0068573E"/>
    <w:rsid w:val="006859CE"/>
    <w:rsid w:val="00691270"/>
    <w:rsid w:val="00694BA8"/>
    <w:rsid w:val="006A030F"/>
    <w:rsid w:val="006A037C"/>
    <w:rsid w:val="006A0C84"/>
    <w:rsid w:val="006A36F4"/>
    <w:rsid w:val="006A406F"/>
    <w:rsid w:val="006A4E97"/>
    <w:rsid w:val="006A5D3A"/>
    <w:rsid w:val="006A7D65"/>
    <w:rsid w:val="006B1942"/>
    <w:rsid w:val="006C23D4"/>
    <w:rsid w:val="006C3759"/>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1066"/>
    <w:rsid w:val="0075566E"/>
    <w:rsid w:val="00755933"/>
    <w:rsid w:val="00763602"/>
    <w:rsid w:val="00764D4E"/>
    <w:rsid w:val="00765A1F"/>
    <w:rsid w:val="00775B6D"/>
    <w:rsid w:val="00776D68"/>
    <w:rsid w:val="00781140"/>
    <w:rsid w:val="0078323E"/>
    <w:rsid w:val="007849C2"/>
    <w:rsid w:val="007850EE"/>
    <w:rsid w:val="00785B95"/>
    <w:rsid w:val="00790E96"/>
    <w:rsid w:val="007926FD"/>
    <w:rsid w:val="00793366"/>
    <w:rsid w:val="00795EF7"/>
    <w:rsid w:val="0079666C"/>
    <w:rsid w:val="007A716F"/>
    <w:rsid w:val="007B2578"/>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313A"/>
    <w:rsid w:val="00805E52"/>
    <w:rsid w:val="008061D0"/>
    <w:rsid w:val="00810B38"/>
    <w:rsid w:val="008204C7"/>
    <w:rsid w:val="00820992"/>
    <w:rsid w:val="00823602"/>
    <w:rsid w:val="008255F5"/>
    <w:rsid w:val="00826890"/>
    <w:rsid w:val="0083014E"/>
    <w:rsid w:val="0083214A"/>
    <w:rsid w:val="00834220"/>
    <w:rsid w:val="008437DB"/>
    <w:rsid w:val="00845723"/>
    <w:rsid w:val="008519E7"/>
    <w:rsid w:val="00851EF9"/>
    <w:rsid w:val="008577FD"/>
    <w:rsid w:val="00860B03"/>
    <w:rsid w:val="0086497A"/>
    <w:rsid w:val="0086538E"/>
    <w:rsid w:val="00867066"/>
    <w:rsid w:val="008713A1"/>
    <w:rsid w:val="00872584"/>
    <w:rsid w:val="008754AB"/>
    <w:rsid w:val="0088060C"/>
    <w:rsid w:val="00882CD5"/>
    <w:rsid w:val="00883151"/>
    <w:rsid w:val="00893576"/>
    <w:rsid w:val="00893E73"/>
    <w:rsid w:val="008B02DC"/>
    <w:rsid w:val="008B092C"/>
    <w:rsid w:val="008B57CE"/>
    <w:rsid w:val="008C1A64"/>
    <w:rsid w:val="008C26DE"/>
    <w:rsid w:val="008D1668"/>
    <w:rsid w:val="008D2225"/>
    <w:rsid w:val="008D4752"/>
    <w:rsid w:val="008D5A13"/>
    <w:rsid w:val="008E271C"/>
    <w:rsid w:val="008E3A08"/>
    <w:rsid w:val="008E418E"/>
    <w:rsid w:val="008E5BC6"/>
    <w:rsid w:val="008E6217"/>
    <w:rsid w:val="008E6A25"/>
    <w:rsid w:val="008F1C59"/>
    <w:rsid w:val="008F2465"/>
    <w:rsid w:val="008F2554"/>
    <w:rsid w:val="008F3AEC"/>
    <w:rsid w:val="008F4D80"/>
    <w:rsid w:val="008F5193"/>
    <w:rsid w:val="008F6B36"/>
    <w:rsid w:val="009013A7"/>
    <w:rsid w:val="009017FB"/>
    <w:rsid w:val="009017FC"/>
    <w:rsid w:val="00902413"/>
    <w:rsid w:val="009040E4"/>
    <w:rsid w:val="0090506B"/>
    <w:rsid w:val="009050C9"/>
    <w:rsid w:val="009066FC"/>
    <w:rsid w:val="009140A3"/>
    <w:rsid w:val="009144A2"/>
    <w:rsid w:val="0091510C"/>
    <w:rsid w:val="009259AC"/>
    <w:rsid w:val="00926F38"/>
    <w:rsid w:val="00927BEB"/>
    <w:rsid w:val="009333DC"/>
    <w:rsid w:val="00934301"/>
    <w:rsid w:val="00936CD1"/>
    <w:rsid w:val="0094131C"/>
    <w:rsid w:val="00941747"/>
    <w:rsid w:val="00941EFB"/>
    <w:rsid w:val="00947AFB"/>
    <w:rsid w:val="00951AA3"/>
    <w:rsid w:val="00951D7D"/>
    <w:rsid w:val="00956D0C"/>
    <w:rsid w:val="009630C7"/>
    <w:rsid w:val="00963CFB"/>
    <w:rsid w:val="00970D35"/>
    <w:rsid w:val="00972B55"/>
    <w:rsid w:val="009743B7"/>
    <w:rsid w:val="0098228B"/>
    <w:rsid w:val="009828DA"/>
    <w:rsid w:val="0098410D"/>
    <w:rsid w:val="00985BAB"/>
    <w:rsid w:val="00986B3C"/>
    <w:rsid w:val="00986D1D"/>
    <w:rsid w:val="00996776"/>
    <w:rsid w:val="009A115C"/>
    <w:rsid w:val="009A7FC1"/>
    <w:rsid w:val="009B1606"/>
    <w:rsid w:val="009B1B5F"/>
    <w:rsid w:val="009B27AF"/>
    <w:rsid w:val="009B6673"/>
    <w:rsid w:val="009C191B"/>
    <w:rsid w:val="009C2BD6"/>
    <w:rsid w:val="009D00E1"/>
    <w:rsid w:val="009D57AA"/>
    <w:rsid w:val="009D6D9C"/>
    <w:rsid w:val="009E1F32"/>
    <w:rsid w:val="009E2CC2"/>
    <w:rsid w:val="009E347C"/>
    <w:rsid w:val="009E47A2"/>
    <w:rsid w:val="009E776C"/>
    <w:rsid w:val="009E7A6F"/>
    <w:rsid w:val="009F4C8F"/>
    <w:rsid w:val="00A02972"/>
    <w:rsid w:val="00A05588"/>
    <w:rsid w:val="00A15601"/>
    <w:rsid w:val="00A1726E"/>
    <w:rsid w:val="00A204CF"/>
    <w:rsid w:val="00A21C42"/>
    <w:rsid w:val="00A21D2B"/>
    <w:rsid w:val="00A22745"/>
    <w:rsid w:val="00A23412"/>
    <w:rsid w:val="00A23D49"/>
    <w:rsid w:val="00A25C4D"/>
    <w:rsid w:val="00A268DD"/>
    <w:rsid w:val="00A27004"/>
    <w:rsid w:val="00A278CA"/>
    <w:rsid w:val="00A308CE"/>
    <w:rsid w:val="00A30C29"/>
    <w:rsid w:val="00A30FF7"/>
    <w:rsid w:val="00A34DD6"/>
    <w:rsid w:val="00A35683"/>
    <w:rsid w:val="00A36819"/>
    <w:rsid w:val="00A36989"/>
    <w:rsid w:val="00A41D86"/>
    <w:rsid w:val="00A420A9"/>
    <w:rsid w:val="00A43628"/>
    <w:rsid w:val="00A45145"/>
    <w:rsid w:val="00A51D0F"/>
    <w:rsid w:val="00A54192"/>
    <w:rsid w:val="00A57147"/>
    <w:rsid w:val="00A6035E"/>
    <w:rsid w:val="00A6144C"/>
    <w:rsid w:val="00A65566"/>
    <w:rsid w:val="00A66617"/>
    <w:rsid w:val="00A671F8"/>
    <w:rsid w:val="00A673A4"/>
    <w:rsid w:val="00A724AE"/>
    <w:rsid w:val="00A73329"/>
    <w:rsid w:val="00A75EA0"/>
    <w:rsid w:val="00A82359"/>
    <w:rsid w:val="00A865D2"/>
    <w:rsid w:val="00A87C10"/>
    <w:rsid w:val="00A90BCD"/>
    <w:rsid w:val="00A92625"/>
    <w:rsid w:val="00A94C20"/>
    <w:rsid w:val="00A95D81"/>
    <w:rsid w:val="00AA1B09"/>
    <w:rsid w:val="00AA227F"/>
    <w:rsid w:val="00AA3BC7"/>
    <w:rsid w:val="00AA754A"/>
    <w:rsid w:val="00AB099E"/>
    <w:rsid w:val="00AB4328"/>
    <w:rsid w:val="00AC38DE"/>
    <w:rsid w:val="00AC3FEC"/>
    <w:rsid w:val="00AC4CD4"/>
    <w:rsid w:val="00AE0A2E"/>
    <w:rsid w:val="00AE354C"/>
    <w:rsid w:val="00AF12C5"/>
    <w:rsid w:val="00AF1B07"/>
    <w:rsid w:val="00AF4B07"/>
    <w:rsid w:val="00AF6186"/>
    <w:rsid w:val="00AF7A3A"/>
    <w:rsid w:val="00B02587"/>
    <w:rsid w:val="00B049D1"/>
    <w:rsid w:val="00B14793"/>
    <w:rsid w:val="00B153A0"/>
    <w:rsid w:val="00B160DB"/>
    <w:rsid w:val="00B20836"/>
    <w:rsid w:val="00B235BB"/>
    <w:rsid w:val="00B27A44"/>
    <w:rsid w:val="00B30BBF"/>
    <w:rsid w:val="00B33C03"/>
    <w:rsid w:val="00B4421F"/>
    <w:rsid w:val="00B44E56"/>
    <w:rsid w:val="00B45917"/>
    <w:rsid w:val="00B46543"/>
    <w:rsid w:val="00B47474"/>
    <w:rsid w:val="00B47D33"/>
    <w:rsid w:val="00B52BE0"/>
    <w:rsid w:val="00B54133"/>
    <w:rsid w:val="00B55A8D"/>
    <w:rsid w:val="00B628AB"/>
    <w:rsid w:val="00B701ED"/>
    <w:rsid w:val="00B748F7"/>
    <w:rsid w:val="00B8086C"/>
    <w:rsid w:val="00B81C58"/>
    <w:rsid w:val="00B861B4"/>
    <w:rsid w:val="00B86DFE"/>
    <w:rsid w:val="00B90990"/>
    <w:rsid w:val="00B922FF"/>
    <w:rsid w:val="00B9281E"/>
    <w:rsid w:val="00B93925"/>
    <w:rsid w:val="00B95187"/>
    <w:rsid w:val="00BA2D55"/>
    <w:rsid w:val="00BA6582"/>
    <w:rsid w:val="00BA71B1"/>
    <w:rsid w:val="00BB0637"/>
    <w:rsid w:val="00BB345F"/>
    <w:rsid w:val="00BB68EA"/>
    <w:rsid w:val="00BC0B99"/>
    <w:rsid w:val="00BC1C27"/>
    <w:rsid w:val="00BC55D9"/>
    <w:rsid w:val="00BC56A7"/>
    <w:rsid w:val="00BC6BBF"/>
    <w:rsid w:val="00BD1572"/>
    <w:rsid w:val="00BD1C26"/>
    <w:rsid w:val="00BE14E3"/>
    <w:rsid w:val="00BE3774"/>
    <w:rsid w:val="00BE41E5"/>
    <w:rsid w:val="00BE4CE2"/>
    <w:rsid w:val="00BF118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0124"/>
    <w:rsid w:val="00C41974"/>
    <w:rsid w:val="00C44A2C"/>
    <w:rsid w:val="00C44F09"/>
    <w:rsid w:val="00C477F7"/>
    <w:rsid w:val="00C509A6"/>
    <w:rsid w:val="00C53F4A"/>
    <w:rsid w:val="00C54125"/>
    <w:rsid w:val="00C55B54"/>
    <w:rsid w:val="00C6098E"/>
    <w:rsid w:val="00C6152C"/>
    <w:rsid w:val="00C71424"/>
    <w:rsid w:val="00C72BEE"/>
    <w:rsid w:val="00C74810"/>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E4FC2"/>
    <w:rsid w:val="00CF2397"/>
    <w:rsid w:val="00D00ABB"/>
    <w:rsid w:val="00D02EEC"/>
    <w:rsid w:val="00D03551"/>
    <w:rsid w:val="00D04315"/>
    <w:rsid w:val="00D06A63"/>
    <w:rsid w:val="00D07E0E"/>
    <w:rsid w:val="00D10CD6"/>
    <w:rsid w:val="00D11478"/>
    <w:rsid w:val="00D15ED0"/>
    <w:rsid w:val="00D164BF"/>
    <w:rsid w:val="00D21B3E"/>
    <w:rsid w:val="00D21FED"/>
    <w:rsid w:val="00D23048"/>
    <w:rsid w:val="00D2328C"/>
    <w:rsid w:val="00D24251"/>
    <w:rsid w:val="00D26E72"/>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4142"/>
    <w:rsid w:val="00D74888"/>
    <w:rsid w:val="00D7488B"/>
    <w:rsid w:val="00D75E28"/>
    <w:rsid w:val="00D772C2"/>
    <w:rsid w:val="00D8008E"/>
    <w:rsid w:val="00D82C45"/>
    <w:rsid w:val="00D908A8"/>
    <w:rsid w:val="00D94050"/>
    <w:rsid w:val="00D977B6"/>
    <w:rsid w:val="00DA0A65"/>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3BEA"/>
    <w:rsid w:val="00E36C71"/>
    <w:rsid w:val="00E40404"/>
    <w:rsid w:val="00E4126A"/>
    <w:rsid w:val="00E42A06"/>
    <w:rsid w:val="00E459C6"/>
    <w:rsid w:val="00E47589"/>
    <w:rsid w:val="00E557AA"/>
    <w:rsid w:val="00E63EC7"/>
    <w:rsid w:val="00E64915"/>
    <w:rsid w:val="00E64D3A"/>
    <w:rsid w:val="00E661D4"/>
    <w:rsid w:val="00E67565"/>
    <w:rsid w:val="00E70091"/>
    <w:rsid w:val="00E70D2E"/>
    <w:rsid w:val="00E720F5"/>
    <w:rsid w:val="00E744E0"/>
    <w:rsid w:val="00E76D47"/>
    <w:rsid w:val="00E827BC"/>
    <w:rsid w:val="00E838A6"/>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3B81"/>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650"/>
    <w:rsid w:val="00F15B4D"/>
    <w:rsid w:val="00F16A7C"/>
    <w:rsid w:val="00F16AAA"/>
    <w:rsid w:val="00F1709C"/>
    <w:rsid w:val="00F21161"/>
    <w:rsid w:val="00F218EF"/>
    <w:rsid w:val="00F21BC7"/>
    <w:rsid w:val="00F266A2"/>
    <w:rsid w:val="00F32269"/>
    <w:rsid w:val="00F35B7A"/>
    <w:rsid w:val="00F52CEF"/>
    <w:rsid w:val="00F56A6F"/>
    <w:rsid w:val="00F5709C"/>
    <w:rsid w:val="00F60B85"/>
    <w:rsid w:val="00F64EF1"/>
    <w:rsid w:val="00F72498"/>
    <w:rsid w:val="00F72B14"/>
    <w:rsid w:val="00F7349B"/>
    <w:rsid w:val="00F81958"/>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31145"/>
  <w15:docId w15:val="{4ECECB58-B11F-467F-AD99-062E55B5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semiHidden/>
    <w:rsid w:val="00A21C42"/>
    <w:rPr>
      <w:sz w:val="24"/>
      <w:szCs w:val="24"/>
      <w:lang w:val="en-GB"/>
    </w:rPr>
  </w:style>
  <w:style w:type="paragraph" w:styleId="Heading1">
    <w:name w:val="heading 1"/>
    <w:basedOn w:val="Normal"/>
    <w:next w:val="Normal"/>
    <w:link w:val="Heading1Char"/>
    <w:uiPriority w:val="98"/>
    <w:semiHidden/>
    <w:rsid w:val="0007367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07367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07367B"/>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07367B"/>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07367B"/>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07367B"/>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07367B"/>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07367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07367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07367B"/>
    <w:rPr>
      <w:rFonts w:ascii="Tahoma" w:hAnsi="Tahoma" w:cs="Tahoma"/>
      <w:sz w:val="16"/>
      <w:szCs w:val="16"/>
    </w:rPr>
  </w:style>
  <w:style w:type="character" w:customStyle="1" w:styleId="BalloonTextChar">
    <w:name w:val="Balloon Text Char"/>
    <w:basedOn w:val="DefaultParagraphFont"/>
    <w:link w:val="BalloonText"/>
    <w:uiPriority w:val="98"/>
    <w:semiHidden/>
    <w:rsid w:val="0007367B"/>
    <w:rPr>
      <w:rFonts w:ascii="Tahoma" w:hAnsi="Tahoma" w:cs="Tahoma"/>
      <w:sz w:val="16"/>
      <w:szCs w:val="16"/>
      <w:lang w:val="en-GB"/>
    </w:rPr>
  </w:style>
  <w:style w:type="character" w:styleId="BookTitle">
    <w:name w:val="Book Title"/>
    <w:uiPriority w:val="98"/>
    <w:semiHidden/>
    <w:qFormat/>
    <w:rsid w:val="0007367B"/>
    <w:rPr>
      <w:i/>
      <w:iCs/>
      <w:smallCaps/>
      <w:spacing w:val="5"/>
    </w:rPr>
  </w:style>
  <w:style w:type="paragraph" w:customStyle="1" w:styleId="JuHeader">
    <w:name w:val="Ju_Header"/>
    <w:aliases w:val="_Header"/>
    <w:basedOn w:val="Header"/>
    <w:uiPriority w:val="29"/>
    <w:qFormat/>
    <w:rsid w:val="0007367B"/>
    <w:pPr>
      <w:tabs>
        <w:tab w:val="clear" w:pos="4536"/>
        <w:tab w:val="clear" w:pos="9072"/>
      </w:tabs>
      <w:jc w:val="center"/>
    </w:pPr>
    <w:rPr>
      <w:sz w:val="18"/>
    </w:rPr>
  </w:style>
  <w:style w:type="paragraph" w:customStyle="1" w:styleId="NormalJustified">
    <w:name w:val="Normal_Justified"/>
    <w:basedOn w:val="Normal"/>
    <w:semiHidden/>
    <w:rsid w:val="0007367B"/>
    <w:pPr>
      <w:jc w:val="both"/>
    </w:pPr>
  </w:style>
  <w:style w:type="character" w:styleId="Strong">
    <w:name w:val="Strong"/>
    <w:uiPriority w:val="98"/>
    <w:semiHidden/>
    <w:qFormat/>
    <w:rsid w:val="0007367B"/>
    <w:rPr>
      <w:b/>
      <w:bCs/>
    </w:rPr>
  </w:style>
  <w:style w:type="paragraph" w:styleId="NoSpacing">
    <w:name w:val="No Spacing"/>
    <w:basedOn w:val="Normal"/>
    <w:link w:val="NoSpacingChar"/>
    <w:uiPriority w:val="98"/>
    <w:semiHidden/>
    <w:qFormat/>
    <w:rsid w:val="0007367B"/>
  </w:style>
  <w:style w:type="character" w:customStyle="1" w:styleId="NoSpacingChar">
    <w:name w:val="No Spacing Char"/>
    <w:basedOn w:val="DefaultParagraphFont"/>
    <w:link w:val="NoSpacing"/>
    <w:uiPriority w:val="98"/>
    <w:semiHidden/>
    <w:rsid w:val="0007367B"/>
    <w:rPr>
      <w:sz w:val="24"/>
      <w:szCs w:val="24"/>
      <w:lang w:val="en-GB"/>
    </w:rPr>
  </w:style>
  <w:style w:type="paragraph" w:customStyle="1" w:styleId="JuQuot">
    <w:name w:val="Ju_Quot"/>
    <w:aliases w:val="_Quote"/>
    <w:basedOn w:val="NormalJustified"/>
    <w:uiPriority w:val="20"/>
    <w:qFormat/>
    <w:rsid w:val="0007367B"/>
    <w:pPr>
      <w:spacing w:before="120" w:after="120"/>
      <w:ind w:left="425" w:firstLine="142"/>
    </w:pPr>
    <w:rPr>
      <w:sz w:val="20"/>
    </w:rPr>
  </w:style>
  <w:style w:type="paragraph" w:customStyle="1" w:styleId="DummyStyle">
    <w:name w:val="Dummy_Style"/>
    <w:aliases w:val="_Dummy"/>
    <w:basedOn w:val="Normal"/>
    <w:semiHidden/>
    <w:qFormat/>
    <w:rsid w:val="0007367B"/>
    <w:rPr>
      <w:color w:val="00B050"/>
      <w:sz w:val="22"/>
    </w:rPr>
  </w:style>
  <w:style w:type="paragraph" w:customStyle="1" w:styleId="JuList">
    <w:name w:val="Ju_List"/>
    <w:aliases w:val="_List_1"/>
    <w:basedOn w:val="NormalJustified"/>
    <w:uiPriority w:val="23"/>
    <w:qFormat/>
    <w:rsid w:val="0007367B"/>
    <w:pPr>
      <w:numPr>
        <w:numId w:val="21"/>
      </w:numPr>
      <w:spacing w:before="280" w:after="60"/>
    </w:pPr>
  </w:style>
  <w:style w:type="paragraph" w:customStyle="1" w:styleId="JuLista">
    <w:name w:val="Ju_List_a"/>
    <w:aliases w:val="_List_2"/>
    <w:basedOn w:val="NormalJustified"/>
    <w:uiPriority w:val="23"/>
    <w:rsid w:val="0007367B"/>
    <w:pPr>
      <w:numPr>
        <w:ilvl w:val="1"/>
        <w:numId w:val="21"/>
      </w:numPr>
    </w:pPr>
  </w:style>
  <w:style w:type="paragraph" w:customStyle="1" w:styleId="JuListi">
    <w:name w:val="Ju_List_i"/>
    <w:aliases w:val="_List_3"/>
    <w:basedOn w:val="NormalJustified"/>
    <w:uiPriority w:val="23"/>
    <w:rsid w:val="0007367B"/>
    <w:pPr>
      <w:numPr>
        <w:ilvl w:val="2"/>
        <w:numId w:val="21"/>
      </w:numPr>
    </w:pPr>
  </w:style>
  <w:style w:type="paragraph" w:customStyle="1" w:styleId="JuHArticle">
    <w:name w:val="Ju_H_Article"/>
    <w:aliases w:val="_Title_Quote"/>
    <w:basedOn w:val="Normal"/>
    <w:next w:val="JuQuot"/>
    <w:uiPriority w:val="19"/>
    <w:qFormat/>
    <w:rsid w:val="0007367B"/>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07367B"/>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07367B"/>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07367B"/>
    <w:pPr>
      <w:keepNext/>
      <w:keepLines/>
      <w:numPr>
        <w:numId w:val="20"/>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07367B"/>
    <w:pPr>
      <w:numPr>
        <w:numId w:val="5"/>
      </w:numPr>
    </w:pPr>
  </w:style>
  <w:style w:type="paragraph" w:customStyle="1" w:styleId="JuSigned">
    <w:name w:val="Ju_Signed"/>
    <w:aliases w:val="_Signature"/>
    <w:basedOn w:val="Normal"/>
    <w:next w:val="JuPara"/>
    <w:uiPriority w:val="31"/>
    <w:qFormat/>
    <w:rsid w:val="0007367B"/>
    <w:pPr>
      <w:tabs>
        <w:tab w:val="center" w:pos="1418"/>
        <w:tab w:val="center" w:pos="5954"/>
      </w:tabs>
      <w:spacing w:before="720"/>
    </w:pPr>
  </w:style>
  <w:style w:type="paragraph" w:styleId="Title">
    <w:name w:val="Title"/>
    <w:basedOn w:val="Normal"/>
    <w:next w:val="Normal"/>
    <w:link w:val="TitleChar"/>
    <w:uiPriority w:val="98"/>
    <w:semiHidden/>
    <w:qFormat/>
    <w:rsid w:val="0007367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07367B"/>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07367B"/>
    <w:pPr>
      <w:numPr>
        <w:numId w:val="6"/>
      </w:numPr>
    </w:pPr>
  </w:style>
  <w:style w:type="numbering" w:customStyle="1" w:styleId="ECHRA1StyleNumberedList">
    <w:name w:val="ECHR_A1_Style_Numbered_List"/>
    <w:basedOn w:val="NoList"/>
    <w:rsid w:val="0007367B"/>
    <w:pPr>
      <w:numPr>
        <w:numId w:val="7"/>
      </w:numPr>
    </w:pPr>
  </w:style>
  <w:style w:type="table" w:customStyle="1" w:styleId="ECHRTable2019">
    <w:name w:val="ECHR_Table_2019"/>
    <w:basedOn w:val="TableNormal"/>
    <w:uiPriority w:val="99"/>
    <w:rsid w:val="0007367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07367B"/>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07367B"/>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07367B"/>
    <w:pPr>
      <w:keepNext/>
      <w:keepLines/>
      <w:numPr>
        <w:ilvl w:val="2"/>
        <w:numId w:val="20"/>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07367B"/>
    <w:pPr>
      <w:keepNext/>
      <w:keepLines/>
      <w:numPr>
        <w:ilvl w:val="3"/>
        <w:numId w:val="20"/>
      </w:numPr>
      <w:spacing w:before="100" w:beforeAutospacing="1" w:after="120"/>
      <w:jc w:val="both"/>
    </w:pPr>
    <w:rPr>
      <w:b w:val="0"/>
      <w:color w:val="auto"/>
      <w:sz w:val="24"/>
    </w:rPr>
  </w:style>
  <w:style w:type="paragraph" w:styleId="Header">
    <w:name w:val="header"/>
    <w:basedOn w:val="Normal"/>
    <w:link w:val="HeaderChar"/>
    <w:uiPriority w:val="98"/>
    <w:semiHidden/>
    <w:rsid w:val="0007367B"/>
    <w:pPr>
      <w:tabs>
        <w:tab w:val="center" w:pos="4536"/>
        <w:tab w:val="right" w:pos="9072"/>
      </w:tabs>
    </w:pPr>
  </w:style>
  <w:style w:type="character" w:customStyle="1" w:styleId="HeaderChar">
    <w:name w:val="Header Char"/>
    <w:basedOn w:val="DefaultParagraphFont"/>
    <w:link w:val="Header"/>
    <w:uiPriority w:val="98"/>
    <w:semiHidden/>
    <w:rsid w:val="0007367B"/>
    <w:rPr>
      <w:sz w:val="24"/>
      <w:szCs w:val="24"/>
      <w:lang w:val="en-GB"/>
    </w:rPr>
  </w:style>
  <w:style w:type="character" w:customStyle="1" w:styleId="Heading1Char">
    <w:name w:val="Heading 1 Char"/>
    <w:basedOn w:val="DefaultParagraphFont"/>
    <w:link w:val="Heading1"/>
    <w:uiPriority w:val="98"/>
    <w:semiHidden/>
    <w:rsid w:val="0007367B"/>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07367B"/>
    <w:pPr>
      <w:keepNext/>
      <w:keepLines/>
      <w:numPr>
        <w:ilvl w:val="4"/>
        <w:numId w:val="20"/>
      </w:numPr>
      <w:spacing w:before="100" w:beforeAutospacing="1" w:after="120"/>
      <w:jc w:val="both"/>
    </w:pPr>
    <w:rPr>
      <w:color w:val="auto"/>
      <w:sz w:val="20"/>
    </w:rPr>
  </w:style>
  <w:style w:type="paragraph" w:customStyle="1" w:styleId="JuHi">
    <w:name w:val="Ju_H_i"/>
    <w:aliases w:val="_Head_6"/>
    <w:basedOn w:val="Heading6"/>
    <w:next w:val="JuPara"/>
    <w:uiPriority w:val="17"/>
    <w:rsid w:val="0007367B"/>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07367B"/>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07367B"/>
    <w:pPr>
      <w:keepNext/>
      <w:keepLines/>
      <w:numPr>
        <w:ilvl w:val="6"/>
        <w:numId w:val="20"/>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07367B"/>
    <w:pPr>
      <w:keepNext/>
      <w:keepLines/>
      <w:numPr>
        <w:ilvl w:val="7"/>
        <w:numId w:val="20"/>
      </w:numPr>
      <w:spacing w:before="100" w:beforeAutospacing="1" w:after="120"/>
      <w:jc w:val="both"/>
    </w:pPr>
    <w:rPr>
      <w:i/>
    </w:rPr>
  </w:style>
  <w:style w:type="character" w:customStyle="1" w:styleId="Heading3Char">
    <w:name w:val="Heading 3 Char"/>
    <w:basedOn w:val="DefaultParagraphFont"/>
    <w:link w:val="Heading3"/>
    <w:uiPriority w:val="98"/>
    <w:semiHidden/>
    <w:rsid w:val="0007367B"/>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07367B"/>
    <w:pPr>
      <w:keepNext/>
      <w:keepLines/>
      <w:spacing w:before="240" w:after="240"/>
      <w:ind w:firstLine="284"/>
    </w:pPr>
  </w:style>
  <w:style w:type="paragraph" w:customStyle="1" w:styleId="JuJudges">
    <w:name w:val="Ju_Judges"/>
    <w:aliases w:val="_Judges"/>
    <w:basedOn w:val="Normal"/>
    <w:uiPriority w:val="32"/>
    <w:qFormat/>
    <w:rsid w:val="0007367B"/>
    <w:pPr>
      <w:tabs>
        <w:tab w:val="left" w:pos="567"/>
        <w:tab w:val="left" w:pos="1134"/>
      </w:tabs>
    </w:pPr>
  </w:style>
  <w:style w:type="character" w:customStyle="1" w:styleId="Heading4Char">
    <w:name w:val="Heading 4 Char"/>
    <w:basedOn w:val="DefaultParagraphFont"/>
    <w:link w:val="Heading4"/>
    <w:uiPriority w:val="98"/>
    <w:semiHidden/>
    <w:rsid w:val="0007367B"/>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07367B"/>
    <w:pPr>
      <w:tabs>
        <w:tab w:val="center" w:pos="6407"/>
      </w:tabs>
      <w:spacing w:before="720"/>
      <w:jc w:val="right"/>
    </w:pPr>
  </w:style>
  <w:style w:type="character" w:customStyle="1" w:styleId="Heading5Char">
    <w:name w:val="Heading 5 Char"/>
    <w:basedOn w:val="DefaultParagraphFont"/>
    <w:link w:val="Heading5"/>
    <w:uiPriority w:val="98"/>
    <w:semiHidden/>
    <w:rsid w:val="0007367B"/>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07367B"/>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07367B"/>
    <w:rPr>
      <w:caps w:val="0"/>
      <w:smallCaps/>
    </w:rPr>
  </w:style>
  <w:style w:type="character" w:styleId="SubtleEmphasis">
    <w:name w:val="Subtle Emphasis"/>
    <w:uiPriority w:val="98"/>
    <w:semiHidden/>
    <w:qFormat/>
    <w:rsid w:val="0007367B"/>
    <w:rPr>
      <w:i/>
      <w:iCs/>
    </w:rPr>
  </w:style>
  <w:style w:type="table" w:customStyle="1" w:styleId="ECHRTable">
    <w:name w:val="ECHR_Table"/>
    <w:basedOn w:val="TableNormal"/>
    <w:rsid w:val="0007367B"/>
    <w:rPr>
      <w:rFonts w:eastAsia="Times New Roman" w:cs="Times New Roman"/>
      <w:sz w:val="20"/>
      <w:szCs w:val="20"/>
      <w:lang w:val="en-GB"/>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07367B"/>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07367B"/>
    <w:rPr>
      <w:b/>
      <w:bCs/>
      <w:i/>
      <w:iCs/>
      <w:spacing w:val="10"/>
      <w:bdr w:val="none" w:sz="0" w:space="0" w:color="auto"/>
      <w:shd w:val="clear" w:color="auto" w:fill="auto"/>
    </w:rPr>
  </w:style>
  <w:style w:type="paragraph" w:styleId="Footer0">
    <w:name w:val="footer"/>
    <w:basedOn w:val="Normal"/>
    <w:link w:val="FooterChar"/>
    <w:uiPriority w:val="98"/>
    <w:semiHidden/>
    <w:rsid w:val="0007367B"/>
    <w:pPr>
      <w:tabs>
        <w:tab w:val="center" w:pos="3686"/>
        <w:tab w:val="right" w:pos="7371"/>
      </w:tabs>
    </w:pPr>
  </w:style>
  <w:style w:type="character" w:customStyle="1" w:styleId="FooterChar">
    <w:name w:val="Footer Char"/>
    <w:basedOn w:val="DefaultParagraphFont"/>
    <w:link w:val="Footer0"/>
    <w:uiPriority w:val="98"/>
    <w:semiHidden/>
    <w:rsid w:val="0007367B"/>
    <w:rPr>
      <w:sz w:val="24"/>
      <w:szCs w:val="24"/>
      <w:lang w:val="en-GB"/>
    </w:rPr>
  </w:style>
  <w:style w:type="character" w:styleId="FootnoteReference">
    <w:name w:val="footnote reference"/>
    <w:basedOn w:val="DefaultParagraphFont"/>
    <w:uiPriority w:val="98"/>
    <w:semiHidden/>
    <w:rsid w:val="0007367B"/>
    <w:rPr>
      <w:vertAlign w:val="superscript"/>
    </w:rPr>
  </w:style>
  <w:style w:type="paragraph" w:styleId="FootnoteText">
    <w:name w:val="footnote text"/>
    <w:basedOn w:val="NormalJustified"/>
    <w:link w:val="FootnoteTextChar"/>
    <w:uiPriority w:val="98"/>
    <w:semiHidden/>
    <w:rsid w:val="0007367B"/>
    <w:rPr>
      <w:sz w:val="20"/>
      <w:szCs w:val="20"/>
    </w:rPr>
  </w:style>
  <w:style w:type="character" w:customStyle="1" w:styleId="FootnoteTextChar">
    <w:name w:val="Footnote Text Char"/>
    <w:basedOn w:val="DefaultParagraphFont"/>
    <w:link w:val="FootnoteText"/>
    <w:uiPriority w:val="98"/>
    <w:semiHidden/>
    <w:rsid w:val="0007367B"/>
    <w:rPr>
      <w:sz w:val="20"/>
      <w:szCs w:val="20"/>
      <w:lang w:val="en-GB"/>
    </w:rPr>
  </w:style>
  <w:style w:type="character" w:customStyle="1" w:styleId="Heading6Char">
    <w:name w:val="Heading 6 Char"/>
    <w:basedOn w:val="DefaultParagraphFont"/>
    <w:link w:val="Heading6"/>
    <w:uiPriority w:val="98"/>
    <w:semiHidden/>
    <w:rsid w:val="0007367B"/>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07367B"/>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07367B"/>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07367B"/>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07367B"/>
    <w:rPr>
      <w:color w:val="0072BC" w:themeColor="hyperlink"/>
      <w:u w:val="single"/>
    </w:rPr>
  </w:style>
  <w:style w:type="character" w:styleId="IntenseEmphasis">
    <w:name w:val="Intense Emphasis"/>
    <w:uiPriority w:val="98"/>
    <w:semiHidden/>
    <w:qFormat/>
    <w:rsid w:val="0007367B"/>
    <w:rPr>
      <w:b/>
      <w:bCs/>
    </w:rPr>
  </w:style>
  <w:style w:type="paragraph" w:styleId="IntenseQuote">
    <w:name w:val="Intense Quote"/>
    <w:basedOn w:val="Normal"/>
    <w:next w:val="Normal"/>
    <w:link w:val="IntenseQuoteChar"/>
    <w:uiPriority w:val="98"/>
    <w:semiHidden/>
    <w:qFormat/>
    <w:rsid w:val="0007367B"/>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07367B"/>
    <w:rPr>
      <w:b/>
      <w:bCs/>
      <w:i/>
      <w:iCs/>
      <w:sz w:val="24"/>
      <w:szCs w:val="24"/>
      <w:lang w:val="en-GB" w:bidi="en-US"/>
    </w:rPr>
  </w:style>
  <w:style w:type="character" w:styleId="IntenseReference">
    <w:name w:val="Intense Reference"/>
    <w:uiPriority w:val="98"/>
    <w:semiHidden/>
    <w:qFormat/>
    <w:rsid w:val="0007367B"/>
    <w:rPr>
      <w:smallCaps/>
      <w:spacing w:val="5"/>
      <w:u w:val="single"/>
    </w:rPr>
  </w:style>
  <w:style w:type="paragraph" w:styleId="ListParagraph">
    <w:name w:val="List Paragraph"/>
    <w:basedOn w:val="Normal"/>
    <w:uiPriority w:val="98"/>
    <w:semiHidden/>
    <w:qFormat/>
    <w:rsid w:val="0007367B"/>
    <w:pPr>
      <w:ind w:left="720"/>
      <w:contextualSpacing/>
    </w:pPr>
  </w:style>
  <w:style w:type="table" w:customStyle="1" w:styleId="LtrTableAddress">
    <w:name w:val="Ltr_Table_Address"/>
    <w:aliases w:val="ECHR_Ltr_Table_Address"/>
    <w:basedOn w:val="TableNormal"/>
    <w:uiPriority w:val="99"/>
    <w:rsid w:val="0007367B"/>
    <w:rPr>
      <w:sz w:val="24"/>
      <w:szCs w:val="24"/>
    </w:rPr>
    <w:tblPr>
      <w:tblInd w:w="5103" w:type="dxa"/>
    </w:tblPr>
  </w:style>
  <w:style w:type="paragraph" w:styleId="Quote">
    <w:name w:val="Quote"/>
    <w:basedOn w:val="Normal"/>
    <w:next w:val="Normal"/>
    <w:link w:val="QuoteChar"/>
    <w:uiPriority w:val="98"/>
    <w:semiHidden/>
    <w:qFormat/>
    <w:rsid w:val="0007367B"/>
    <w:pPr>
      <w:spacing w:before="200"/>
      <w:ind w:left="360" w:right="360"/>
    </w:pPr>
    <w:rPr>
      <w:i/>
      <w:iCs/>
      <w:lang w:bidi="en-US"/>
    </w:rPr>
  </w:style>
  <w:style w:type="character" w:customStyle="1" w:styleId="QuoteChar">
    <w:name w:val="Quote Char"/>
    <w:basedOn w:val="DefaultParagraphFont"/>
    <w:link w:val="Quote"/>
    <w:uiPriority w:val="98"/>
    <w:semiHidden/>
    <w:rsid w:val="0007367B"/>
    <w:rPr>
      <w:i/>
      <w:iCs/>
      <w:sz w:val="24"/>
      <w:szCs w:val="24"/>
      <w:lang w:val="en-GB" w:bidi="en-US"/>
    </w:rPr>
  </w:style>
  <w:style w:type="character" w:styleId="SubtleReference">
    <w:name w:val="Subtle Reference"/>
    <w:uiPriority w:val="98"/>
    <w:semiHidden/>
    <w:qFormat/>
    <w:rsid w:val="0007367B"/>
    <w:rPr>
      <w:smallCaps/>
    </w:rPr>
  </w:style>
  <w:style w:type="table" w:styleId="TableGrid">
    <w:name w:val="Table Grid"/>
    <w:basedOn w:val="TableNormal"/>
    <w:uiPriority w:val="59"/>
    <w:semiHidden/>
    <w:rsid w:val="0007367B"/>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07367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07367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07367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07367B"/>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07367B"/>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07367B"/>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07367B"/>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07367B"/>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07367B"/>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07367B"/>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07367B"/>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07367B"/>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07367B"/>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07367B"/>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07367B"/>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07367B"/>
    <w:pPr>
      <w:numPr>
        <w:numId w:val="2"/>
      </w:numPr>
    </w:pPr>
  </w:style>
  <w:style w:type="paragraph" w:customStyle="1" w:styleId="JuPara">
    <w:name w:val="Ju_Para"/>
    <w:aliases w:val="_Para"/>
    <w:basedOn w:val="NormalJustified"/>
    <w:link w:val="JuParaChar"/>
    <w:uiPriority w:val="4"/>
    <w:qFormat/>
    <w:rsid w:val="0007367B"/>
    <w:pPr>
      <w:ind w:firstLine="284"/>
    </w:pPr>
  </w:style>
  <w:style w:type="numbering" w:styleId="1ai">
    <w:name w:val="Outline List 1"/>
    <w:basedOn w:val="NoList"/>
    <w:uiPriority w:val="99"/>
    <w:semiHidden/>
    <w:unhideWhenUsed/>
    <w:rsid w:val="0007367B"/>
    <w:pPr>
      <w:numPr>
        <w:numId w:val="3"/>
      </w:numPr>
    </w:pPr>
  </w:style>
  <w:style w:type="table" w:customStyle="1" w:styleId="ECHRTableSimpleBox">
    <w:name w:val="ECHR_Table_Simple_Box"/>
    <w:basedOn w:val="TableNormal"/>
    <w:uiPriority w:val="99"/>
    <w:rsid w:val="0007367B"/>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07367B"/>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07367B"/>
    <w:pPr>
      <w:numPr>
        <w:numId w:val="4"/>
      </w:numPr>
    </w:pPr>
  </w:style>
  <w:style w:type="table" w:customStyle="1" w:styleId="ECHRTableForInternalUse">
    <w:name w:val="ECHR_Table_For_Internal_Use"/>
    <w:basedOn w:val="TableNormal"/>
    <w:uiPriority w:val="99"/>
    <w:rsid w:val="0007367B"/>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07367B"/>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07367B"/>
  </w:style>
  <w:style w:type="paragraph" w:styleId="BlockText">
    <w:name w:val="Block Text"/>
    <w:basedOn w:val="Normal"/>
    <w:uiPriority w:val="98"/>
    <w:semiHidden/>
    <w:rsid w:val="0007367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07367B"/>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07367B"/>
    <w:pPr>
      <w:spacing w:after="120"/>
    </w:pPr>
  </w:style>
  <w:style w:type="character" w:customStyle="1" w:styleId="BodyTextChar">
    <w:name w:val="Body Text Char"/>
    <w:basedOn w:val="DefaultParagraphFont"/>
    <w:link w:val="BodyText"/>
    <w:uiPriority w:val="98"/>
    <w:semiHidden/>
    <w:rsid w:val="0007367B"/>
    <w:rPr>
      <w:sz w:val="24"/>
      <w:szCs w:val="24"/>
      <w:lang w:val="en-GB"/>
    </w:rPr>
  </w:style>
  <w:style w:type="table" w:customStyle="1" w:styleId="ECHRTableOddBanded">
    <w:name w:val="ECHR_Table_Odd_Banded"/>
    <w:basedOn w:val="TableNormal"/>
    <w:uiPriority w:val="99"/>
    <w:rsid w:val="0007367B"/>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07367B"/>
    <w:pPr>
      <w:spacing w:after="120" w:line="480" w:lineRule="auto"/>
    </w:pPr>
  </w:style>
  <w:style w:type="table" w:customStyle="1" w:styleId="ECHRHeaderTableReduced">
    <w:name w:val="ECHR_Header_Table_Reduced"/>
    <w:basedOn w:val="TableNormal"/>
    <w:uiPriority w:val="99"/>
    <w:rsid w:val="0007367B"/>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07367B"/>
    <w:pPr>
      <w:ind w:firstLine="284"/>
    </w:pPr>
    <w:rPr>
      <w:b/>
    </w:rPr>
  </w:style>
  <w:style w:type="character" w:styleId="PageNumber">
    <w:name w:val="page number"/>
    <w:uiPriority w:val="98"/>
    <w:semiHidden/>
    <w:rsid w:val="0007367B"/>
    <w:rPr>
      <w:sz w:val="18"/>
    </w:rPr>
  </w:style>
  <w:style w:type="paragraph" w:styleId="ListBullet">
    <w:name w:val="List Bullet"/>
    <w:basedOn w:val="Normal"/>
    <w:uiPriority w:val="98"/>
    <w:semiHidden/>
    <w:rsid w:val="0007367B"/>
    <w:pPr>
      <w:numPr>
        <w:numId w:val="8"/>
      </w:numPr>
    </w:pPr>
  </w:style>
  <w:style w:type="paragraph" w:styleId="ListBullet3">
    <w:name w:val="List Bullet 3"/>
    <w:basedOn w:val="Normal"/>
    <w:uiPriority w:val="98"/>
    <w:semiHidden/>
    <w:rsid w:val="0007367B"/>
    <w:pPr>
      <w:numPr>
        <w:numId w:val="10"/>
      </w:numPr>
      <w:contextualSpacing/>
    </w:pPr>
  </w:style>
  <w:style w:type="character" w:customStyle="1" w:styleId="BodyText2Char">
    <w:name w:val="Body Text 2 Char"/>
    <w:basedOn w:val="DefaultParagraphFont"/>
    <w:link w:val="BodyText2"/>
    <w:uiPriority w:val="98"/>
    <w:semiHidden/>
    <w:rsid w:val="0007367B"/>
    <w:rPr>
      <w:sz w:val="24"/>
      <w:szCs w:val="24"/>
      <w:lang w:val="en-GB"/>
    </w:rPr>
  </w:style>
  <w:style w:type="paragraph" w:styleId="BodyText3">
    <w:name w:val="Body Text 3"/>
    <w:basedOn w:val="Normal"/>
    <w:link w:val="BodyText3Char"/>
    <w:uiPriority w:val="98"/>
    <w:semiHidden/>
    <w:rsid w:val="0007367B"/>
    <w:pPr>
      <w:spacing w:after="120"/>
    </w:pPr>
    <w:rPr>
      <w:sz w:val="16"/>
      <w:szCs w:val="16"/>
    </w:rPr>
  </w:style>
  <w:style w:type="character" w:customStyle="1" w:styleId="BodyText3Char">
    <w:name w:val="Body Text 3 Char"/>
    <w:basedOn w:val="DefaultParagraphFont"/>
    <w:link w:val="BodyText3"/>
    <w:uiPriority w:val="98"/>
    <w:semiHidden/>
    <w:rsid w:val="0007367B"/>
    <w:rPr>
      <w:sz w:val="16"/>
      <w:szCs w:val="16"/>
      <w:lang w:val="en-GB"/>
    </w:rPr>
  </w:style>
  <w:style w:type="paragraph" w:styleId="BodyTextFirstIndent">
    <w:name w:val="Body Text First Indent"/>
    <w:basedOn w:val="BodyText"/>
    <w:link w:val="BodyTextFirstIndentChar"/>
    <w:uiPriority w:val="98"/>
    <w:semiHidden/>
    <w:rsid w:val="0007367B"/>
    <w:pPr>
      <w:spacing w:after="0"/>
      <w:ind w:firstLine="360"/>
    </w:pPr>
  </w:style>
  <w:style w:type="character" w:customStyle="1" w:styleId="BodyTextFirstIndentChar">
    <w:name w:val="Body Text First Indent Char"/>
    <w:basedOn w:val="BodyTextChar"/>
    <w:link w:val="BodyTextFirstIndent"/>
    <w:uiPriority w:val="98"/>
    <w:semiHidden/>
    <w:rsid w:val="0007367B"/>
    <w:rPr>
      <w:sz w:val="24"/>
      <w:szCs w:val="24"/>
      <w:lang w:val="en-GB"/>
    </w:rPr>
  </w:style>
  <w:style w:type="paragraph" w:styleId="BodyTextIndent">
    <w:name w:val="Body Text Indent"/>
    <w:basedOn w:val="Normal"/>
    <w:link w:val="BodyTextIndentChar"/>
    <w:uiPriority w:val="98"/>
    <w:semiHidden/>
    <w:rsid w:val="0007367B"/>
    <w:pPr>
      <w:spacing w:after="120"/>
      <w:ind w:left="283"/>
    </w:pPr>
  </w:style>
  <w:style w:type="character" w:customStyle="1" w:styleId="BodyTextIndentChar">
    <w:name w:val="Body Text Indent Char"/>
    <w:basedOn w:val="DefaultParagraphFont"/>
    <w:link w:val="BodyTextIndent"/>
    <w:uiPriority w:val="98"/>
    <w:semiHidden/>
    <w:rsid w:val="0007367B"/>
    <w:rPr>
      <w:sz w:val="24"/>
      <w:szCs w:val="24"/>
      <w:lang w:val="en-GB"/>
    </w:rPr>
  </w:style>
  <w:style w:type="paragraph" w:styleId="BodyTextFirstIndent2">
    <w:name w:val="Body Text First Indent 2"/>
    <w:basedOn w:val="BodyTextIndent"/>
    <w:link w:val="BodyTextFirstIndent2Char"/>
    <w:uiPriority w:val="98"/>
    <w:semiHidden/>
    <w:rsid w:val="0007367B"/>
    <w:pPr>
      <w:spacing w:after="0"/>
      <w:ind w:left="360" w:firstLine="360"/>
    </w:pPr>
  </w:style>
  <w:style w:type="character" w:customStyle="1" w:styleId="BodyTextFirstIndent2Char">
    <w:name w:val="Body Text First Indent 2 Char"/>
    <w:basedOn w:val="BodyTextIndentChar"/>
    <w:link w:val="BodyTextFirstIndent2"/>
    <w:uiPriority w:val="98"/>
    <w:semiHidden/>
    <w:rsid w:val="0007367B"/>
    <w:rPr>
      <w:sz w:val="24"/>
      <w:szCs w:val="24"/>
      <w:lang w:val="en-GB"/>
    </w:rPr>
  </w:style>
  <w:style w:type="paragraph" w:styleId="BodyTextIndent2">
    <w:name w:val="Body Text Indent 2"/>
    <w:basedOn w:val="Normal"/>
    <w:link w:val="BodyTextIndent2Char"/>
    <w:uiPriority w:val="98"/>
    <w:semiHidden/>
    <w:rsid w:val="0007367B"/>
    <w:pPr>
      <w:spacing w:after="120" w:line="480" w:lineRule="auto"/>
      <w:ind w:left="283"/>
    </w:pPr>
  </w:style>
  <w:style w:type="character" w:customStyle="1" w:styleId="BodyTextIndent2Char">
    <w:name w:val="Body Text Indent 2 Char"/>
    <w:basedOn w:val="DefaultParagraphFont"/>
    <w:link w:val="BodyTextIndent2"/>
    <w:uiPriority w:val="98"/>
    <w:semiHidden/>
    <w:rsid w:val="0007367B"/>
    <w:rPr>
      <w:sz w:val="24"/>
      <w:szCs w:val="24"/>
      <w:lang w:val="en-GB"/>
    </w:rPr>
  </w:style>
  <w:style w:type="paragraph" w:styleId="BodyTextIndent3">
    <w:name w:val="Body Text Indent 3"/>
    <w:basedOn w:val="Normal"/>
    <w:link w:val="BodyTextIndent3Char"/>
    <w:uiPriority w:val="98"/>
    <w:semiHidden/>
    <w:rsid w:val="0007367B"/>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07367B"/>
    <w:rPr>
      <w:sz w:val="16"/>
      <w:szCs w:val="16"/>
      <w:lang w:val="en-GB"/>
    </w:rPr>
  </w:style>
  <w:style w:type="paragraph" w:styleId="Caption">
    <w:name w:val="caption"/>
    <w:basedOn w:val="Normal"/>
    <w:next w:val="Normal"/>
    <w:uiPriority w:val="98"/>
    <w:semiHidden/>
    <w:qFormat/>
    <w:rsid w:val="0007367B"/>
    <w:pPr>
      <w:spacing w:after="200"/>
    </w:pPr>
    <w:rPr>
      <w:b/>
      <w:bCs/>
      <w:color w:val="0072BC" w:themeColor="accent1"/>
      <w:sz w:val="18"/>
      <w:szCs w:val="18"/>
    </w:rPr>
  </w:style>
  <w:style w:type="paragraph" w:styleId="Closing">
    <w:name w:val="Closing"/>
    <w:basedOn w:val="Normal"/>
    <w:link w:val="ClosingChar"/>
    <w:uiPriority w:val="98"/>
    <w:semiHidden/>
    <w:rsid w:val="0007367B"/>
    <w:pPr>
      <w:ind w:left="4252"/>
    </w:pPr>
  </w:style>
  <w:style w:type="character" w:customStyle="1" w:styleId="ClosingChar">
    <w:name w:val="Closing Char"/>
    <w:basedOn w:val="DefaultParagraphFont"/>
    <w:link w:val="Closing"/>
    <w:uiPriority w:val="98"/>
    <w:semiHidden/>
    <w:rsid w:val="0007367B"/>
    <w:rPr>
      <w:sz w:val="24"/>
      <w:szCs w:val="24"/>
      <w:lang w:val="en-GB"/>
    </w:rPr>
  </w:style>
  <w:style w:type="table" w:styleId="ColorfulGrid">
    <w:name w:val="Colorful Grid"/>
    <w:basedOn w:val="TableNormal"/>
    <w:uiPriority w:val="73"/>
    <w:semiHidden/>
    <w:rsid w:val="0007367B"/>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07367B"/>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07367B"/>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07367B"/>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07367B"/>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07367B"/>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07367B"/>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07367B"/>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07367B"/>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07367B"/>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07367B"/>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07367B"/>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07367B"/>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07367B"/>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07367B"/>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07367B"/>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07367B"/>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07367B"/>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07367B"/>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07367B"/>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07367B"/>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07367B"/>
    <w:rPr>
      <w:sz w:val="16"/>
      <w:szCs w:val="16"/>
    </w:rPr>
  </w:style>
  <w:style w:type="paragraph" w:styleId="CommentText">
    <w:name w:val="annotation text"/>
    <w:basedOn w:val="Normal"/>
    <w:link w:val="CommentTextChar"/>
    <w:uiPriority w:val="98"/>
    <w:semiHidden/>
    <w:rsid w:val="0007367B"/>
    <w:rPr>
      <w:sz w:val="20"/>
      <w:szCs w:val="20"/>
    </w:rPr>
  </w:style>
  <w:style w:type="character" w:customStyle="1" w:styleId="CommentTextChar">
    <w:name w:val="Comment Text Char"/>
    <w:basedOn w:val="DefaultParagraphFont"/>
    <w:link w:val="CommentText"/>
    <w:uiPriority w:val="98"/>
    <w:semiHidden/>
    <w:rsid w:val="0007367B"/>
    <w:rPr>
      <w:sz w:val="20"/>
      <w:szCs w:val="20"/>
      <w:lang w:val="en-GB"/>
    </w:rPr>
  </w:style>
  <w:style w:type="paragraph" w:styleId="CommentSubject">
    <w:name w:val="annotation subject"/>
    <w:basedOn w:val="CommentText"/>
    <w:next w:val="CommentText"/>
    <w:link w:val="CommentSubjectChar"/>
    <w:uiPriority w:val="98"/>
    <w:semiHidden/>
    <w:rsid w:val="0007367B"/>
    <w:rPr>
      <w:b/>
      <w:bCs/>
    </w:rPr>
  </w:style>
  <w:style w:type="character" w:customStyle="1" w:styleId="CommentSubjectChar">
    <w:name w:val="Comment Subject Char"/>
    <w:basedOn w:val="CommentTextChar"/>
    <w:link w:val="CommentSubject"/>
    <w:uiPriority w:val="98"/>
    <w:semiHidden/>
    <w:rsid w:val="0007367B"/>
    <w:rPr>
      <w:b/>
      <w:bCs/>
      <w:sz w:val="20"/>
      <w:szCs w:val="20"/>
      <w:lang w:val="en-GB"/>
    </w:rPr>
  </w:style>
  <w:style w:type="table" w:styleId="DarkList">
    <w:name w:val="Dark List"/>
    <w:basedOn w:val="TableNormal"/>
    <w:uiPriority w:val="70"/>
    <w:semiHidden/>
    <w:rsid w:val="0007367B"/>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07367B"/>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07367B"/>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07367B"/>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07367B"/>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07367B"/>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07367B"/>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07367B"/>
  </w:style>
  <w:style w:type="character" w:customStyle="1" w:styleId="DateChar">
    <w:name w:val="Date Char"/>
    <w:basedOn w:val="DefaultParagraphFont"/>
    <w:link w:val="Date"/>
    <w:uiPriority w:val="98"/>
    <w:semiHidden/>
    <w:rsid w:val="0007367B"/>
    <w:rPr>
      <w:sz w:val="24"/>
      <w:szCs w:val="24"/>
      <w:lang w:val="en-GB"/>
    </w:rPr>
  </w:style>
  <w:style w:type="paragraph" w:styleId="DocumentMap">
    <w:name w:val="Document Map"/>
    <w:basedOn w:val="Normal"/>
    <w:link w:val="DocumentMapChar"/>
    <w:uiPriority w:val="98"/>
    <w:semiHidden/>
    <w:rsid w:val="0007367B"/>
    <w:rPr>
      <w:rFonts w:ascii="Tahoma" w:hAnsi="Tahoma" w:cs="Tahoma"/>
      <w:sz w:val="16"/>
      <w:szCs w:val="16"/>
    </w:rPr>
  </w:style>
  <w:style w:type="character" w:customStyle="1" w:styleId="DocumentMapChar">
    <w:name w:val="Document Map Char"/>
    <w:basedOn w:val="DefaultParagraphFont"/>
    <w:link w:val="DocumentMap"/>
    <w:uiPriority w:val="98"/>
    <w:semiHidden/>
    <w:rsid w:val="0007367B"/>
    <w:rPr>
      <w:rFonts w:ascii="Tahoma" w:hAnsi="Tahoma" w:cs="Tahoma"/>
      <w:sz w:val="16"/>
      <w:szCs w:val="16"/>
      <w:lang w:val="en-GB"/>
    </w:rPr>
  </w:style>
  <w:style w:type="paragraph" w:styleId="E-mailSignature">
    <w:name w:val="E-mail Signature"/>
    <w:basedOn w:val="Normal"/>
    <w:link w:val="E-mailSignatureChar"/>
    <w:uiPriority w:val="98"/>
    <w:semiHidden/>
    <w:rsid w:val="0007367B"/>
  </w:style>
  <w:style w:type="character" w:customStyle="1" w:styleId="E-mailSignatureChar">
    <w:name w:val="E-mail Signature Char"/>
    <w:basedOn w:val="DefaultParagraphFont"/>
    <w:link w:val="E-mailSignature"/>
    <w:uiPriority w:val="98"/>
    <w:semiHidden/>
    <w:rsid w:val="0007367B"/>
    <w:rPr>
      <w:sz w:val="24"/>
      <w:szCs w:val="24"/>
      <w:lang w:val="en-GB"/>
    </w:rPr>
  </w:style>
  <w:style w:type="character" w:styleId="EndnoteReference">
    <w:name w:val="endnote reference"/>
    <w:basedOn w:val="DefaultParagraphFont"/>
    <w:uiPriority w:val="98"/>
    <w:semiHidden/>
    <w:rsid w:val="0007367B"/>
    <w:rPr>
      <w:vertAlign w:val="superscript"/>
    </w:rPr>
  </w:style>
  <w:style w:type="paragraph" w:styleId="EndnoteText">
    <w:name w:val="endnote text"/>
    <w:basedOn w:val="Normal"/>
    <w:link w:val="EndnoteTextChar"/>
    <w:uiPriority w:val="98"/>
    <w:semiHidden/>
    <w:rsid w:val="0007367B"/>
    <w:rPr>
      <w:sz w:val="20"/>
      <w:szCs w:val="20"/>
    </w:rPr>
  </w:style>
  <w:style w:type="character" w:customStyle="1" w:styleId="EndnoteTextChar">
    <w:name w:val="Endnote Text Char"/>
    <w:basedOn w:val="DefaultParagraphFont"/>
    <w:link w:val="EndnoteText"/>
    <w:uiPriority w:val="98"/>
    <w:semiHidden/>
    <w:rsid w:val="0007367B"/>
    <w:rPr>
      <w:sz w:val="20"/>
      <w:szCs w:val="20"/>
      <w:lang w:val="en-GB"/>
    </w:rPr>
  </w:style>
  <w:style w:type="paragraph" w:styleId="EnvelopeAddress">
    <w:name w:val="envelope address"/>
    <w:basedOn w:val="Normal"/>
    <w:uiPriority w:val="98"/>
    <w:semiHidden/>
    <w:rsid w:val="0007367B"/>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07367B"/>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07367B"/>
    <w:rPr>
      <w:color w:val="7030A0" w:themeColor="followedHyperlink"/>
      <w:u w:val="single"/>
    </w:rPr>
  </w:style>
  <w:style w:type="character" w:styleId="HTMLAcronym">
    <w:name w:val="HTML Acronym"/>
    <w:basedOn w:val="DefaultParagraphFont"/>
    <w:uiPriority w:val="98"/>
    <w:semiHidden/>
    <w:rsid w:val="0007367B"/>
  </w:style>
  <w:style w:type="paragraph" w:styleId="HTMLAddress">
    <w:name w:val="HTML Address"/>
    <w:basedOn w:val="Normal"/>
    <w:link w:val="HTMLAddressChar"/>
    <w:uiPriority w:val="98"/>
    <w:semiHidden/>
    <w:rsid w:val="0007367B"/>
    <w:rPr>
      <w:i/>
      <w:iCs/>
    </w:rPr>
  </w:style>
  <w:style w:type="character" w:customStyle="1" w:styleId="HTMLAddressChar">
    <w:name w:val="HTML Address Char"/>
    <w:basedOn w:val="DefaultParagraphFont"/>
    <w:link w:val="HTMLAddress"/>
    <w:uiPriority w:val="98"/>
    <w:semiHidden/>
    <w:rsid w:val="0007367B"/>
    <w:rPr>
      <w:i/>
      <w:iCs/>
      <w:sz w:val="24"/>
      <w:szCs w:val="24"/>
      <w:lang w:val="en-GB"/>
    </w:rPr>
  </w:style>
  <w:style w:type="character" w:styleId="HTMLCite">
    <w:name w:val="HTML Cite"/>
    <w:basedOn w:val="DefaultParagraphFont"/>
    <w:uiPriority w:val="98"/>
    <w:semiHidden/>
    <w:rsid w:val="0007367B"/>
    <w:rPr>
      <w:i/>
      <w:iCs/>
    </w:rPr>
  </w:style>
  <w:style w:type="character" w:styleId="HTMLCode">
    <w:name w:val="HTML Code"/>
    <w:basedOn w:val="DefaultParagraphFont"/>
    <w:uiPriority w:val="98"/>
    <w:semiHidden/>
    <w:rsid w:val="0007367B"/>
    <w:rPr>
      <w:rFonts w:ascii="Consolas" w:hAnsi="Consolas" w:cs="Consolas"/>
      <w:sz w:val="20"/>
      <w:szCs w:val="20"/>
    </w:rPr>
  </w:style>
  <w:style w:type="character" w:styleId="HTMLDefinition">
    <w:name w:val="HTML Definition"/>
    <w:basedOn w:val="DefaultParagraphFont"/>
    <w:uiPriority w:val="98"/>
    <w:semiHidden/>
    <w:rsid w:val="0007367B"/>
    <w:rPr>
      <w:i/>
      <w:iCs/>
    </w:rPr>
  </w:style>
  <w:style w:type="character" w:styleId="HTMLKeyboard">
    <w:name w:val="HTML Keyboard"/>
    <w:basedOn w:val="DefaultParagraphFont"/>
    <w:uiPriority w:val="98"/>
    <w:semiHidden/>
    <w:rsid w:val="0007367B"/>
    <w:rPr>
      <w:rFonts w:ascii="Consolas" w:hAnsi="Consolas" w:cs="Consolas"/>
      <w:sz w:val="20"/>
      <w:szCs w:val="20"/>
    </w:rPr>
  </w:style>
  <w:style w:type="paragraph" w:styleId="HTMLPreformatted">
    <w:name w:val="HTML Preformatted"/>
    <w:basedOn w:val="Normal"/>
    <w:link w:val="HTMLPreformattedChar"/>
    <w:uiPriority w:val="98"/>
    <w:semiHidden/>
    <w:rsid w:val="0007367B"/>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07367B"/>
    <w:rPr>
      <w:rFonts w:ascii="Consolas" w:hAnsi="Consolas" w:cs="Consolas"/>
      <w:sz w:val="20"/>
      <w:szCs w:val="20"/>
      <w:lang w:val="en-GB"/>
    </w:rPr>
  </w:style>
  <w:style w:type="character" w:styleId="HTMLSample">
    <w:name w:val="HTML Sample"/>
    <w:basedOn w:val="DefaultParagraphFont"/>
    <w:uiPriority w:val="98"/>
    <w:semiHidden/>
    <w:rsid w:val="0007367B"/>
    <w:rPr>
      <w:rFonts w:ascii="Consolas" w:hAnsi="Consolas" w:cs="Consolas"/>
      <w:sz w:val="24"/>
      <w:szCs w:val="24"/>
    </w:rPr>
  </w:style>
  <w:style w:type="character" w:styleId="HTMLTypewriter">
    <w:name w:val="HTML Typewriter"/>
    <w:basedOn w:val="DefaultParagraphFont"/>
    <w:uiPriority w:val="98"/>
    <w:semiHidden/>
    <w:rsid w:val="0007367B"/>
    <w:rPr>
      <w:rFonts w:ascii="Consolas" w:hAnsi="Consolas" w:cs="Consolas"/>
      <w:sz w:val="20"/>
      <w:szCs w:val="20"/>
    </w:rPr>
  </w:style>
  <w:style w:type="character" w:styleId="HTMLVariable">
    <w:name w:val="HTML Variable"/>
    <w:basedOn w:val="DefaultParagraphFont"/>
    <w:uiPriority w:val="98"/>
    <w:semiHidden/>
    <w:rsid w:val="0007367B"/>
    <w:rPr>
      <w:i/>
      <w:iCs/>
    </w:rPr>
  </w:style>
  <w:style w:type="paragraph" w:styleId="Index1">
    <w:name w:val="index 1"/>
    <w:basedOn w:val="Normal"/>
    <w:next w:val="Normal"/>
    <w:autoRedefine/>
    <w:uiPriority w:val="98"/>
    <w:semiHidden/>
    <w:rsid w:val="0007367B"/>
    <w:pPr>
      <w:ind w:left="240" w:hanging="240"/>
    </w:pPr>
  </w:style>
  <w:style w:type="paragraph" w:styleId="Index2">
    <w:name w:val="index 2"/>
    <w:basedOn w:val="Normal"/>
    <w:next w:val="Normal"/>
    <w:autoRedefine/>
    <w:uiPriority w:val="98"/>
    <w:semiHidden/>
    <w:rsid w:val="0007367B"/>
    <w:pPr>
      <w:ind w:left="480" w:hanging="240"/>
    </w:pPr>
  </w:style>
  <w:style w:type="paragraph" w:styleId="Index3">
    <w:name w:val="index 3"/>
    <w:basedOn w:val="Normal"/>
    <w:next w:val="Normal"/>
    <w:autoRedefine/>
    <w:uiPriority w:val="98"/>
    <w:semiHidden/>
    <w:rsid w:val="0007367B"/>
    <w:pPr>
      <w:ind w:left="720" w:hanging="240"/>
    </w:pPr>
  </w:style>
  <w:style w:type="paragraph" w:styleId="Index4">
    <w:name w:val="index 4"/>
    <w:basedOn w:val="Normal"/>
    <w:next w:val="Normal"/>
    <w:autoRedefine/>
    <w:uiPriority w:val="98"/>
    <w:semiHidden/>
    <w:rsid w:val="0007367B"/>
    <w:pPr>
      <w:ind w:left="960" w:hanging="240"/>
    </w:pPr>
  </w:style>
  <w:style w:type="paragraph" w:styleId="Index5">
    <w:name w:val="index 5"/>
    <w:basedOn w:val="Normal"/>
    <w:next w:val="Normal"/>
    <w:autoRedefine/>
    <w:uiPriority w:val="98"/>
    <w:semiHidden/>
    <w:rsid w:val="0007367B"/>
    <w:pPr>
      <w:ind w:left="1200" w:hanging="240"/>
    </w:pPr>
  </w:style>
  <w:style w:type="paragraph" w:styleId="Index6">
    <w:name w:val="index 6"/>
    <w:basedOn w:val="Normal"/>
    <w:next w:val="Normal"/>
    <w:autoRedefine/>
    <w:uiPriority w:val="98"/>
    <w:semiHidden/>
    <w:rsid w:val="0007367B"/>
    <w:pPr>
      <w:ind w:left="1440" w:hanging="240"/>
    </w:pPr>
  </w:style>
  <w:style w:type="paragraph" w:styleId="Index7">
    <w:name w:val="index 7"/>
    <w:basedOn w:val="Normal"/>
    <w:next w:val="Normal"/>
    <w:autoRedefine/>
    <w:uiPriority w:val="98"/>
    <w:semiHidden/>
    <w:rsid w:val="0007367B"/>
    <w:pPr>
      <w:ind w:left="1680" w:hanging="240"/>
    </w:pPr>
  </w:style>
  <w:style w:type="paragraph" w:styleId="Index8">
    <w:name w:val="index 8"/>
    <w:basedOn w:val="Normal"/>
    <w:next w:val="Normal"/>
    <w:autoRedefine/>
    <w:uiPriority w:val="98"/>
    <w:semiHidden/>
    <w:rsid w:val="0007367B"/>
    <w:pPr>
      <w:ind w:left="1920" w:hanging="240"/>
    </w:pPr>
  </w:style>
  <w:style w:type="paragraph" w:styleId="Index9">
    <w:name w:val="index 9"/>
    <w:basedOn w:val="Normal"/>
    <w:next w:val="Normal"/>
    <w:autoRedefine/>
    <w:uiPriority w:val="98"/>
    <w:semiHidden/>
    <w:rsid w:val="0007367B"/>
    <w:pPr>
      <w:ind w:left="2160" w:hanging="240"/>
    </w:pPr>
  </w:style>
  <w:style w:type="paragraph" w:styleId="IndexHeading">
    <w:name w:val="index heading"/>
    <w:basedOn w:val="Normal"/>
    <w:next w:val="Index1"/>
    <w:uiPriority w:val="98"/>
    <w:semiHidden/>
    <w:rsid w:val="0007367B"/>
    <w:rPr>
      <w:rFonts w:asciiTheme="majorHAnsi" w:eastAsiaTheme="majorEastAsia" w:hAnsiTheme="majorHAnsi" w:cstheme="majorBidi"/>
      <w:b/>
      <w:bCs/>
    </w:rPr>
  </w:style>
  <w:style w:type="table" w:styleId="LightGrid">
    <w:name w:val="Light Grid"/>
    <w:basedOn w:val="TableNormal"/>
    <w:uiPriority w:val="62"/>
    <w:semiHidden/>
    <w:rsid w:val="0007367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7367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07367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07367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07367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07367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07367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07367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7367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07367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07367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07367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07367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07367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07367B"/>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7367B"/>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07367B"/>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07367B"/>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07367B"/>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07367B"/>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07367B"/>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07367B"/>
  </w:style>
  <w:style w:type="paragraph" w:styleId="List">
    <w:name w:val="List"/>
    <w:basedOn w:val="Normal"/>
    <w:uiPriority w:val="98"/>
    <w:semiHidden/>
    <w:rsid w:val="0007367B"/>
    <w:pPr>
      <w:ind w:left="283" w:hanging="283"/>
      <w:contextualSpacing/>
    </w:pPr>
  </w:style>
  <w:style w:type="paragraph" w:styleId="List2">
    <w:name w:val="List 2"/>
    <w:basedOn w:val="Normal"/>
    <w:uiPriority w:val="98"/>
    <w:semiHidden/>
    <w:rsid w:val="0007367B"/>
    <w:pPr>
      <w:ind w:left="566" w:hanging="283"/>
      <w:contextualSpacing/>
    </w:pPr>
  </w:style>
  <w:style w:type="paragraph" w:styleId="List3">
    <w:name w:val="List 3"/>
    <w:basedOn w:val="Normal"/>
    <w:uiPriority w:val="98"/>
    <w:semiHidden/>
    <w:rsid w:val="0007367B"/>
    <w:pPr>
      <w:ind w:left="849" w:hanging="283"/>
      <w:contextualSpacing/>
    </w:pPr>
  </w:style>
  <w:style w:type="paragraph" w:styleId="List4">
    <w:name w:val="List 4"/>
    <w:basedOn w:val="Normal"/>
    <w:uiPriority w:val="98"/>
    <w:semiHidden/>
    <w:rsid w:val="0007367B"/>
    <w:pPr>
      <w:ind w:left="1132" w:hanging="283"/>
      <w:contextualSpacing/>
    </w:pPr>
  </w:style>
  <w:style w:type="paragraph" w:styleId="List5">
    <w:name w:val="List 5"/>
    <w:basedOn w:val="Normal"/>
    <w:uiPriority w:val="98"/>
    <w:semiHidden/>
    <w:rsid w:val="0007367B"/>
    <w:pPr>
      <w:ind w:left="1415" w:hanging="283"/>
      <w:contextualSpacing/>
    </w:pPr>
  </w:style>
  <w:style w:type="paragraph" w:styleId="ListBullet2">
    <w:name w:val="List Bullet 2"/>
    <w:basedOn w:val="Normal"/>
    <w:uiPriority w:val="98"/>
    <w:semiHidden/>
    <w:rsid w:val="0007367B"/>
    <w:pPr>
      <w:numPr>
        <w:numId w:val="9"/>
      </w:numPr>
      <w:contextualSpacing/>
    </w:pPr>
  </w:style>
  <w:style w:type="paragraph" w:styleId="ListBullet4">
    <w:name w:val="List Bullet 4"/>
    <w:basedOn w:val="Normal"/>
    <w:uiPriority w:val="98"/>
    <w:semiHidden/>
    <w:rsid w:val="0007367B"/>
    <w:pPr>
      <w:numPr>
        <w:numId w:val="11"/>
      </w:numPr>
      <w:contextualSpacing/>
    </w:pPr>
  </w:style>
  <w:style w:type="paragraph" w:styleId="ListBullet5">
    <w:name w:val="List Bullet 5"/>
    <w:basedOn w:val="Normal"/>
    <w:uiPriority w:val="98"/>
    <w:semiHidden/>
    <w:rsid w:val="0007367B"/>
    <w:pPr>
      <w:numPr>
        <w:numId w:val="12"/>
      </w:numPr>
      <w:contextualSpacing/>
    </w:pPr>
  </w:style>
  <w:style w:type="paragraph" w:styleId="ListContinue">
    <w:name w:val="List Continue"/>
    <w:basedOn w:val="Normal"/>
    <w:uiPriority w:val="98"/>
    <w:semiHidden/>
    <w:rsid w:val="0007367B"/>
    <w:pPr>
      <w:spacing w:after="120"/>
      <w:ind w:left="283"/>
      <w:contextualSpacing/>
    </w:pPr>
  </w:style>
  <w:style w:type="paragraph" w:styleId="ListContinue2">
    <w:name w:val="List Continue 2"/>
    <w:basedOn w:val="Normal"/>
    <w:uiPriority w:val="98"/>
    <w:semiHidden/>
    <w:rsid w:val="0007367B"/>
    <w:pPr>
      <w:spacing w:after="120"/>
      <w:ind w:left="566"/>
      <w:contextualSpacing/>
    </w:pPr>
  </w:style>
  <w:style w:type="paragraph" w:styleId="ListContinue3">
    <w:name w:val="List Continue 3"/>
    <w:basedOn w:val="Normal"/>
    <w:uiPriority w:val="98"/>
    <w:semiHidden/>
    <w:rsid w:val="0007367B"/>
    <w:pPr>
      <w:spacing w:after="120"/>
      <w:ind w:left="849"/>
      <w:contextualSpacing/>
    </w:pPr>
  </w:style>
  <w:style w:type="paragraph" w:styleId="ListContinue4">
    <w:name w:val="List Continue 4"/>
    <w:basedOn w:val="Normal"/>
    <w:uiPriority w:val="98"/>
    <w:semiHidden/>
    <w:rsid w:val="0007367B"/>
    <w:pPr>
      <w:spacing w:after="120"/>
      <w:ind w:left="1132"/>
      <w:contextualSpacing/>
    </w:pPr>
  </w:style>
  <w:style w:type="paragraph" w:styleId="ListContinue5">
    <w:name w:val="List Continue 5"/>
    <w:basedOn w:val="Normal"/>
    <w:uiPriority w:val="98"/>
    <w:semiHidden/>
    <w:rsid w:val="0007367B"/>
    <w:pPr>
      <w:spacing w:after="120"/>
      <w:ind w:left="1415"/>
      <w:contextualSpacing/>
    </w:pPr>
  </w:style>
  <w:style w:type="paragraph" w:styleId="ListNumber">
    <w:name w:val="List Number"/>
    <w:basedOn w:val="Normal"/>
    <w:uiPriority w:val="98"/>
    <w:semiHidden/>
    <w:rsid w:val="0007367B"/>
    <w:pPr>
      <w:numPr>
        <w:numId w:val="13"/>
      </w:numPr>
      <w:contextualSpacing/>
    </w:pPr>
  </w:style>
  <w:style w:type="paragraph" w:styleId="ListNumber2">
    <w:name w:val="List Number 2"/>
    <w:basedOn w:val="Normal"/>
    <w:uiPriority w:val="98"/>
    <w:semiHidden/>
    <w:rsid w:val="0007367B"/>
    <w:pPr>
      <w:numPr>
        <w:numId w:val="14"/>
      </w:numPr>
      <w:contextualSpacing/>
    </w:pPr>
  </w:style>
  <w:style w:type="paragraph" w:styleId="ListNumber3">
    <w:name w:val="List Number 3"/>
    <w:basedOn w:val="Normal"/>
    <w:uiPriority w:val="98"/>
    <w:semiHidden/>
    <w:rsid w:val="0007367B"/>
    <w:pPr>
      <w:numPr>
        <w:numId w:val="15"/>
      </w:numPr>
      <w:contextualSpacing/>
    </w:pPr>
  </w:style>
  <w:style w:type="paragraph" w:styleId="ListNumber4">
    <w:name w:val="List Number 4"/>
    <w:basedOn w:val="Normal"/>
    <w:uiPriority w:val="98"/>
    <w:semiHidden/>
    <w:rsid w:val="0007367B"/>
    <w:pPr>
      <w:numPr>
        <w:numId w:val="16"/>
      </w:numPr>
      <w:contextualSpacing/>
    </w:pPr>
  </w:style>
  <w:style w:type="paragraph" w:styleId="ListNumber5">
    <w:name w:val="List Number 5"/>
    <w:basedOn w:val="Normal"/>
    <w:uiPriority w:val="98"/>
    <w:semiHidden/>
    <w:rsid w:val="0007367B"/>
    <w:pPr>
      <w:numPr>
        <w:numId w:val="17"/>
      </w:numPr>
      <w:contextualSpacing/>
    </w:pPr>
  </w:style>
  <w:style w:type="paragraph" w:styleId="MacroText">
    <w:name w:val="macro"/>
    <w:link w:val="MacroTextChar"/>
    <w:uiPriority w:val="98"/>
    <w:semiHidden/>
    <w:rsid w:val="0007367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07367B"/>
    <w:rPr>
      <w:rFonts w:ascii="Consolas" w:eastAsiaTheme="minorEastAsia" w:hAnsi="Consolas" w:cs="Consolas"/>
      <w:sz w:val="20"/>
      <w:szCs w:val="20"/>
    </w:rPr>
  </w:style>
  <w:style w:type="table" w:styleId="MediumGrid1">
    <w:name w:val="Medium Grid 1"/>
    <w:basedOn w:val="TableNormal"/>
    <w:uiPriority w:val="67"/>
    <w:semiHidden/>
    <w:rsid w:val="0007367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07367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07367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07367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07367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07367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07367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7367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07367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07367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07367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07367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07367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07367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07367B"/>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7367B"/>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07367B"/>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07367B"/>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07367B"/>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07367B"/>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07367B"/>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7367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07367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7367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7367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7367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7367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7367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7367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7367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7367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7367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7367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7367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7367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7367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0736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07367B"/>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07367B"/>
    <w:rPr>
      <w:rFonts w:ascii="Times New Roman" w:hAnsi="Times New Roman" w:cs="Times New Roman"/>
    </w:rPr>
  </w:style>
  <w:style w:type="paragraph" w:styleId="NormalIndent">
    <w:name w:val="Normal Indent"/>
    <w:basedOn w:val="Normal"/>
    <w:uiPriority w:val="98"/>
    <w:semiHidden/>
    <w:rsid w:val="0007367B"/>
    <w:pPr>
      <w:ind w:left="720"/>
    </w:pPr>
  </w:style>
  <w:style w:type="paragraph" w:styleId="NoteHeading">
    <w:name w:val="Note Heading"/>
    <w:basedOn w:val="Normal"/>
    <w:next w:val="Normal"/>
    <w:link w:val="NoteHeadingChar"/>
    <w:uiPriority w:val="98"/>
    <w:semiHidden/>
    <w:rsid w:val="0007367B"/>
  </w:style>
  <w:style w:type="character" w:customStyle="1" w:styleId="NoteHeadingChar">
    <w:name w:val="Note Heading Char"/>
    <w:basedOn w:val="DefaultParagraphFont"/>
    <w:link w:val="NoteHeading"/>
    <w:uiPriority w:val="98"/>
    <w:semiHidden/>
    <w:rsid w:val="0007367B"/>
    <w:rPr>
      <w:sz w:val="24"/>
      <w:szCs w:val="24"/>
      <w:lang w:val="en-GB"/>
    </w:rPr>
  </w:style>
  <w:style w:type="character" w:styleId="PlaceholderText">
    <w:name w:val="Placeholder Text"/>
    <w:basedOn w:val="DefaultParagraphFont"/>
    <w:uiPriority w:val="98"/>
    <w:semiHidden/>
    <w:rsid w:val="0007367B"/>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07367B"/>
    <w:rPr>
      <w:rFonts w:ascii="Consolas" w:hAnsi="Consolas" w:cs="Consolas"/>
      <w:sz w:val="21"/>
      <w:szCs w:val="21"/>
    </w:rPr>
  </w:style>
  <w:style w:type="character" w:customStyle="1" w:styleId="PlainTextChar">
    <w:name w:val="Plain Text Char"/>
    <w:basedOn w:val="DefaultParagraphFont"/>
    <w:link w:val="PlainText"/>
    <w:uiPriority w:val="98"/>
    <w:semiHidden/>
    <w:rsid w:val="0007367B"/>
    <w:rPr>
      <w:rFonts w:ascii="Consolas" w:hAnsi="Consolas" w:cs="Consolas"/>
      <w:sz w:val="21"/>
      <w:szCs w:val="21"/>
      <w:lang w:val="en-GB"/>
    </w:rPr>
  </w:style>
  <w:style w:type="paragraph" w:styleId="Salutation">
    <w:name w:val="Salutation"/>
    <w:basedOn w:val="Normal"/>
    <w:next w:val="Normal"/>
    <w:link w:val="SalutationChar"/>
    <w:uiPriority w:val="98"/>
    <w:semiHidden/>
    <w:rsid w:val="0007367B"/>
  </w:style>
  <w:style w:type="character" w:customStyle="1" w:styleId="SalutationChar">
    <w:name w:val="Salutation Char"/>
    <w:basedOn w:val="DefaultParagraphFont"/>
    <w:link w:val="Salutation"/>
    <w:uiPriority w:val="98"/>
    <w:semiHidden/>
    <w:rsid w:val="0007367B"/>
    <w:rPr>
      <w:sz w:val="24"/>
      <w:szCs w:val="24"/>
      <w:lang w:val="en-GB"/>
    </w:rPr>
  </w:style>
  <w:style w:type="paragraph" w:styleId="Signature">
    <w:name w:val="Signature"/>
    <w:basedOn w:val="Normal"/>
    <w:link w:val="SignatureChar"/>
    <w:uiPriority w:val="98"/>
    <w:semiHidden/>
    <w:rsid w:val="0007367B"/>
    <w:pPr>
      <w:ind w:left="4252"/>
    </w:pPr>
  </w:style>
  <w:style w:type="character" w:customStyle="1" w:styleId="SignatureChar">
    <w:name w:val="Signature Char"/>
    <w:basedOn w:val="DefaultParagraphFont"/>
    <w:link w:val="Signature"/>
    <w:uiPriority w:val="98"/>
    <w:semiHidden/>
    <w:rsid w:val="0007367B"/>
    <w:rPr>
      <w:sz w:val="24"/>
      <w:szCs w:val="24"/>
      <w:lang w:val="en-GB"/>
    </w:rPr>
  </w:style>
  <w:style w:type="table" w:styleId="Table3Deffects1">
    <w:name w:val="Table 3D effects 1"/>
    <w:basedOn w:val="TableNormal"/>
    <w:uiPriority w:val="99"/>
    <w:semiHidden/>
    <w:unhideWhenUsed/>
    <w:rsid w:val="0007367B"/>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7367B"/>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7367B"/>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7367B"/>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7367B"/>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7367B"/>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7367B"/>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7367B"/>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7367B"/>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7367B"/>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7367B"/>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7367B"/>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7367B"/>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7367B"/>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7367B"/>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7367B"/>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7367B"/>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7367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7367B"/>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7367B"/>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7367B"/>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7367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7367B"/>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7367B"/>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7367B"/>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7367B"/>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7367B"/>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7367B"/>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7367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7367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7367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7367B"/>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7367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07367B"/>
    <w:pPr>
      <w:ind w:left="240" w:hanging="240"/>
    </w:pPr>
  </w:style>
  <w:style w:type="paragraph" w:styleId="TableofFigures">
    <w:name w:val="table of figures"/>
    <w:basedOn w:val="Normal"/>
    <w:next w:val="Normal"/>
    <w:uiPriority w:val="98"/>
    <w:semiHidden/>
    <w:rsid w:val="0007367B"/>
  </w:style>
  <w:style w:type="table" w:styleId="TableProfessional">
    <w:name w:val="Table Professional"/>
    <w:basedOn w:val="TableNormal"/>
    <w:uiPriority w:val="99"/>
    <w:semiHidden/>
    <w:unhideWhenUsed/>
    <w:rsid w:val="0007367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7367B"/>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7367B"/>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7367B"/>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7367B"/>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7367B"/>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7367B"/>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7367B"/>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7367B"/>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7367B"/>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07367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07367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07367B"/>
    <w:pPr>
      <w:spacing w:after="100"/>
      <w:ind w:left="1680"/>
    </w:pPr>
  </w:style>
  <w:style w:type="paragraph" w:styleId="TOC9">
    <w:name w:val="toc 9"/>
    <w:basedOn w:val="Normal"/>
    <w:next w:val="Normal"/>
    <w:autoRedefine/>
    <w:uiPriority w:val="98"/>
    <w:semiHidden/>
    <w:rsid w:val="0007367B"/>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07367B"/>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07367B"/>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07367B"/>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07367B"/>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07367B"/>
    <w:pPr>
      <w:numPr>
        <w:numId w:val="18"/>
      </w:numPr>
      <w:spacing w:before="60" w:after="60"/>
    </w:pPr>
  </w:style>
  <w:style w:type="paragraph" w:customStyle="1" w:styleId="ECHRBullet2">
    <w:name w:val="ECHR_Bullet_2"/>
    <w:aliases w:val="_Bul_2"/>
    <w:basedOn w:val="ECHRBullet1"/>
    <w:uiPriority w:val="23"/>
    <w:semiHidden/>
    <w:rsid w:val="0007367B"/>
    <w:pPr>
      <w:numPr>
        <w:ilvl w:val="1"/>
      </w:numPr>
    </w:pPr>
  </w:style>
  <w:style w:type="paragraph" w:customStyle="1" w:styleId="ECHRBullet3">
    <w:name w:val="ECHR_Bullet_3"/>
    <w:aliases w:val="_Bul_3"/>
    <w:basedOn w:val="ECHRBullet2"/>
    <w:uiPriority w:val="23"/>
    <w:semiHidden/>
    <w:rsid w:val="0007367B"/>
    <w:pPr>
      <w:numPr>
        <w:ilvl w:val="2"/>
      </w:numPr>
    </w:pPr>
  </w:style>
  <w:style w:type="paragraph" w:customStyle="1" w:styleId="ECHRBullet4">
    <w:name w:val="ECHR_Bullet_4"/>
    <w:aliases w:val="_Bul_4"/>
    <w:basedOn w:val="ECHRBullet3"/>
    <w:uiPriority w:val="23"/>
    <w:semiHidden/>
    <w:rsid w:val="0007367B"/>
    <w:pPr>
      <w:numPr>
        <w:ilvl w:val="3"/>
      </w:numPr>
    </w:pPr>
  </w:style>
  <w:style w:type="paragraph" w:customStyle="1" w:styleId="ECHRConfidential">
    <w:name w:val="ECHR_Confidential"/>
    <w:aliases w:val="_Confidential"/>
    <w:basedOn w:val="Normal"/>
    <w:next w:val="Normal"/>
    <w:uiPriority w:val="42"/>
    <w:semiHidden/>
    <w:qFormat/>
    <w:rsid w:val="0007367B"/>
    <w:pPr>
      <w:jc w:val="right"/>
    </w:pPr>
    <w:rPr>
      <w:color w:val="C00000"/>
      <w:sz w:val="20"/>
    </w:rPr>
  </w:style>
  <w:style w:type="paragraph" w:customStyle="1" w:styleId="ECHRDecisionBody">
    <w:name w:val="ECHR_Decision_Body"/>
    <w:aliases w:val="_Decision_Body"/>
    <w:basedOn w:val="NormalJustified"/>
    <w:uiPriority w:val="54"/>
    <w:semiHidden/>
    <w:rsid w:val="0007367B"/>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07367B"/>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07367B"/>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07367B"/>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07367B"/>
    <w:pPr>
      <w:jc w:val="right"/>
    </w:pPr>
    <w:rPr>
      <w:sz w:val="20"/>
    </w:rPr>
  </w:style>
  <w:style w:type="paragraph" w:customStyle="1" w:styleId="ECHRHeaderRefIt">
    <w:name w:val="ECHR_Header_Ref_It"/>
    <w:aliases w:val="_Ref_Ital"/>
    <w:basedOn w:val="Normal"/>
    <w:next w:val="ECHRHeaderDate"/>
    <w:uiPriority w:val="43"/>
    <w:qFormat/>
    <w:rsid w:val="0007367B"/>
    <w:pPr>
      <w:jc w:val="right"/>
    </w:pPr>
    <w:rPr>
      <w:i/>
      <w:sz w:val="20"/>
    </w:rPr>
  </w:style>
  <w:style w:type="paragraph" w:customStyle="1" w:styleId="ECHRHeading9">
    <w:name w:val="ECHR_Heading_9"/>
    <w:aliases w:val="_Head_9"/>
    <w:basedOn w:val="Heading9"/>
    <w:uiPriority w:val="17"/>
    <w:semiHidden/>
    <w:rsid w:val="0007367B"/>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07367B"/>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07367B"/>
    <w:pPr>
      <w:numPr>
        <w:numId w:val="19"/>
      </w:numPr>
      <w:spacing w:before="60" w:after="60"/>
    </w:pPr>
  </w:style>
  <w:style w:type="paragraph" w:customStyle="1" w:styleId="ECHRNumberedList2">
    <w:name w:val="ECHR_Numbered_List_2"/>
    <w:aliases w:val="_Num_2"/>
    <w:basedOn w:val="ECHRNumberedList1"/>
    <w:uiPriority w:val="23"/>
    <w:semiHidden/>
    <w:rsid w:val="0007367B"/>
    <w:pPr>
      <w:numPr>
        <w:ilvl w:val="1"/>
      </w:numPr>
    </w:pPr>
  </w:style>
  <w:style w:type="paragraph" w:customStyle="1" w:styleId="ECHRNumberedList3">
    <w:name w:val="ECHR_Numbered_List_3"/>
    <w:aliases w:val="_Num_3"/>
    <w:basedOn w:val="ECHRNumberedList2"/>
    <w:uiPriority w:val="23"/>
    <w:semiHidden/>
    <w:rsid w:val="0007367B"/>
    <w:pPr>
      <w:numPr>
        <w:ilvl w:val="2"/>
      </w:numPr>
    </w:pPr>
  </w:style>
  <w:style w:type="paragraph" w:customStyle="1" w:styleId="ECHRParaHanging">
    <w:name w:val="ECHR_Para_Hanging"/>
    <w:aliases w:val="_Hanging"/>
    <w:basedOn w:val="NormalJustified"/>
    <w:uiPriority w:val="8"/>
    <w:semiHidden/>
    <w:qFormat/>
    <w:rsid w:val="0007367B"/>
    <w:pPr>
      <w:ind w:left="567" w:hanging="567"/>
    </w:pPr>
  </w:style>
  <w:style w:type="paragraph" w:customStyle="1" w:styleId="ECHRParaIndent">
    <w:name w:val="ECHR_Para_Indent"/>
    <w:aliases w:val="_Indent"/>
    <w:basedOn w:val="NormalJustified"/>
    <w:uiPriority w:val="7"/>
    <w:semiHidden/>
    <w:qFormat/>
    <w:rsid w:val="0007367B"/>
    <w:pPr>
      <w:spacing w:before="120" w:after="120"/>
      <w:ind w:left="284"/>
    </w:pPr>
  </w:style>
  <w:style w:type="character" w:customStyle="1" w:styleId="ECHRRed">
    <w:name w:val="ECHR_Red"/>
    <w:aliases w:val="_Red"/>
    <w:basedOn w:val="DefaultParagraphFont"/>
    <w:uiPriority w:val="15"/>
    <w:semiHidden/>
    <w:qFormat/>
    <w:rsid w:val="0007367B"/>
    <w:rPr>
      <w:color w:val="C00000" w:themeColor="accent2"/>
    </w:rPr>
  </w:style>
  <w:style w:type="paragraph" w:customStyle="1" w:styleId="DecList">
    <w:name w:val="Dec_List"/>
    <w:aliases w:val="_List"/>
    <w:basedOn w:val="JuList"/>
    <w:uiPriority w:val="22"/>
    <w:rsid w:val="0007367B"/>
    <w:pPr>
      <w:numPr>
        <w:numId w:val="0"/>
      </w:numPr>
      <w:ind w:left="284"/>
    </w:pPr>
  </w:style>
  <w:style w:type="table" w:customStyle="1" w:styleId="ECHRTable2">
    <w:name w:val="ECHR_Table_2"/>
    <w:basedOn w:val="TableNormal"/>
    <w:uiPriority w:val="99"/>
    <w:rsid w:val="0007367B"/>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07367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07367B"/>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07367B"/>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07367B"/>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07367B"/>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07367B"/>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07367B"/>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07367B"/>
    <w:pPr>
      <w:outlineLvl w:val="0"/>
    </w:pPr>
  </w:style>
  <w:style w:type="paragraph" w:customStyle="1" w:styleId="ECHRTitleTOC1">
    <w:name w:val="ECHR_Title_TOC_1"/>
    <w:aliases w:val="_Title_L_TOC"/>
    <w:basedOn w:val="ECHRTitle1"/>
    <w:next w:val="Normal"/>
    <w:uiPriority w:val="27"/>
    <w:semiHidden/>
    <w:qFormat/>
    <w:rsid w:val="0007367B"/>
    <w:pPr>
      <w:outlineLvl w:val="0"/>
    </w:pPr>
  </w:style>
  <w:style w:type="paragraph" w:customStyle="1" w:styleId="ECHRPlaceholder">
    <w:name w:val="ECHR_Placeholder"/>
    <w:aliases w:val="_Placeholder"/>
    <w:basedOn w:val="JuSigned"/>
    <w:uiPriority w:val="31"/>
    <w:rsid w:val="0007367B"/>
    <w:rPr>
      <w:color w:val="FFFFFF"/>
    </w:rPr>
  </w:style>
  <w:style w:type="paragraph" w:customStyle="1" w:styleId="ECHRSpacer">
    <w:name w:val="ECHR_Spacer"/>
    <w:aliases w:val="_Spacer"/>
    <w:basedOn w:val="Normal"/>
    <w:uiPriority w:val="45"/>
    <w:semiHidden/>
    <w:rsid w:val="0007367B"/>
    <w:rPr>
      <w:sz w:val="4"/>
    </w:rPr>
  </w:style>
  <w:style w:type="table" w:customStyle="1" w:styleId="ECHRTableGrey">
    <w:name w:val="ECHR_Table_Grey"/>
    <w:basedOn w:val="TableNormal"/>
    <w:uiPriority w:val="99"/>
    <w:rsid w:val="0007367B"/>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07367B"/>
    <w:rPr>
      <w:color w:val="605E5C"/>
      <w:shd w:val="clear" w:color="auto" w:fill="E1DFDD"/>
    </w:rPr>
  </w:style>
  <w:style w:type="character" w:customStyle="1" w:styleId="JuParaChar">
    <w:name w:val="Ju_Para Char"/>
    <w:aliases w:val="_Para Char"/>
    <w:link w:val="JuPara"/>
    <w:uiPriority w:val="4"/>
    <w:rsid w:val="00795EF7"/>
    <w:rPr>
      <w:sz w:val="24"/>
      <w:szCs w:val="24"/>
      <w:lang w:val="en-GB"/>
    </w:rPr>
  </w:style>
  <w:style w:type="table" w:styleId="GridTable1Light">
    <w:name w:val="Grid Table 1 Light"/>
    <w:basedOn w:val="TableNormal"/>
    <w:uiPriority w:val="46"/>
    <w:semiHidden/>
    <w:rsid w:val="00795E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795EF7"/>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semiHidden/>
    <w:rsid w:val="00795EF7"/>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95EF7"/>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95EF7"/>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95EF7"/>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95EF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95EF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95E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95EF7"/>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795EF7"/>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795EF7"/>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795EF7"/>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795EF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795EF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795E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95EF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795EF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795EF7"/>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795EF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795EF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795EF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795E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95EF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795EF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795EF7"/>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795EF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795EF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795EF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795E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95E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795E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795E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795E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795E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795E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795E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95EF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795EF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795EF7"/>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795EF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795EF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795EF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795E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95EF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795EF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795EF7"/>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795EF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795EF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795EF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795EF7"/>
    <w:rPr>
      <w:color w:val="2B579A"/>
      <w:shd w:val="clear" w:color="auto" w:fill="E1DFDD"/>
    </w:rPr>
  </w:style>
  <w:style w:type="table" w:styleId="ListTable1Light">
    <w:name w:val="List Table 1 Light"/>
    <w:basedOn w:val="TableNormal"/>
    <w:uiPriority w:val="46"/>
    <w:semiHidden/>
    <w:rsid w:val="00795E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95EF7"/>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795EF7"/>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795EF7"/>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795EF7"/>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795EF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795EF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795E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95EF7"/>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795EF7"/>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795EF7"/>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795EF7"/>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795EF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795EF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795E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95EF7"/>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795EF7"/>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795EF7"/>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795EF7"/>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795EF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795EF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795E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95EF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795EF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795EF7"/>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795EF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795EF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795EF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795E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95EF7"/>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95EF7"/>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95EF7"/>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95EF7"/>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95EF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95EF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95E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95EF7"/>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795EF7"/>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795EF7"/>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795EF7"/>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795EF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795EF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795E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95EF7"/>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95EF7"/>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95EF7"/>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95EF7"/>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95EF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95EF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795EF7"/>
    <w:rPr>
      <w:color w:val="2B579A"/>
      <w:shd w:val="clear" w:color="auto" w:fill="E1DFDD"/>
    </w:rPr>
  </w:style>
  <w:style w:type="table" w:styleId="PlainTable1">
    <w:name w:val="Plain Table 1"/>
    <w:basedOn w:val="TableNormal"/>
    <w:uiPriority w:val="41"/>
    <w:semiHidden/>
    <w:rsid w:val="00795E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795E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95E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95E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795E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795EF7"/>
    <w:rPr>
      <w:u w:val="dotted"/>
    </w:rPr>
  </w:style>
  <w:style w:type="character" w:styleId="SmartLink">
    <w:name w:val="Smart Link"/>
    <w:basedOn w:val="DefaultParagraphFont"/>
    <w:uiPriority w:val="99"/>
    <w:semiHidden/>
    <w:unhideWhenUsed/>
    <w:rsid w:val="00795EF7"/>
    <w:rPr>
      <w:color w:val="0000FF"/>
      <w:u w:val="single"/>
      <w:shd w:val="clear" w:color="auto" w:fill="F3F2F1"/>
    </w:rPr>
  </w:style>
  <w:style w:type="table" w:styleId="TableGridLight">
    <w:name w:val="Grid Table Light"/>
    <w:basedOn w:val="TableNormal"/>
    <w:uiPriority w:val="40"/>
    <w:semiHidden/>
    <w:rsid w:val="00795E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95EF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3225">
      <w:bodyDiv w:val="1"/>
      <w:marLeft w:val="0"/>
      <w:marRight w:val="0"/>
      <w:marTop w:val="0"/>
      <w:marBottom w:val="0"/>
      <w:divBdr>
        <w:top w:val="none" w:sz="0" w:space="0" w:color="auto"/>
        <w:left w:val="none" w:sz="0" w:space="0" w:color="auto"/>
        <w:bottom w:val="none" w:sz="0" w:space="0" w:color="auto"/>
        <w:right w:val="none" w:sz="0" w:space="0" w:color="auto"/>
      </w:divBdr>
    </w:div>
    <w:div w:id="673457604">
      <w:bodyDiv w:val="1"/>
      <w:marLeft w:val="0"/>
      <w:marRight w:val="0"/>
      <w:marTop w:val="0"/>
      <w:marBottom w:val="0"/>
      <w:divBdr>
        <w:top w:val="none" w:sz="0" w:space="0" w:color="auto"/>
        <w:left w:val="none" w:sz="0" w:space="0" w:color="auto"/>
        <w:bottom w:val="none" w:sz="0" w:space="0" w:color="auto"/>
        <w:right w:val="none" w:sz="0" w:space="0" w:color="auto"/>
      </w:divBdr>
    </w:div>
    <w:div w:id="19106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8DC8-8283-459E-B518-31F9750E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8277</Words>
  <Characters>47185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55352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Dimitar Rizov</dc:creator>
  <cp:lastModifiedBy>Ana Mitrichka</cp:lastModifiedBy>
  <cp:revision>5</cp:revision>
  <dcterms:created xsi:type="dcterms:W3CDTF">2025-03-10T12:25:00Z</dcterms:created>
  <dcterms:modified xsi:type="dcterms:W3CDTF">2025-06-25T11:41:00Z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1252635</vt:lpwstr>
  </property>
  <property fmtid="{D5CDD505-2E9C-101B-9397-08002B2CF9AE}" pid="3" name="cstLanguage">
    <vt:i4>2057</vt:i4>
  </property>
  <property fmtid="{D5CDD505-2E9C-101B-9397-08002B2CF9AE}" pid="4" name="RegisteredNo">
    <vt:lpwstr>59144/16</vt:lpwstr>
  </property>
</Properties>
</file>